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C0727">
      <w:pPr>
        <w:topLinePunct w:val="0"/>
        <w:adjustRightInd w:val="0"/>
        <w:snapToGrid w:val="0"/>
        <w:spacing w:line="500" w:lineRule="exact"/>
        <w:rPr>
          <w:rFonts w:hint="eastAsia" w:eastAsia="黑体" w:cs="黑体"/>
          <w:color w:val="000000"/>
        </w:rPr>
      </w:pPr>
      <w:r>
        <w:rPr>
          <w:rFonts w:hint="eastAsia" w:eastAsia="黑体" w:cs="黑体"/>
          <w:color w:val="000000"/>
        </w:rPr>
        <w:t>附件</w:t>
      </w:r>
    </w:p>
    <w:p w14:paraId="5E632C1F">
      <w:pPr>
        <w:topLinePunct w:val="0"/>
        <w:adjustRightInd w:val="0"/>
        <w:snapToGrid w:val="0"/>
        <w:spacing w:line="500" w:lineRule="exact"/>
        <w:rPr>
          <w:rFonts w:hint="eastAsia" w:eastAsia="黑体" w:cs="黑体"/>
          <w:color w:val="000000"/>
        </w:rPr>
      </w:pPr>
    </w:p>
    <w:p w14:paraId="683F761B">
      <w:pPr>
        <w:topLinePunct w:val="0"/>
        <w:adjustRightInd w:val="0"/>
        <w:snapToGrid w:val="0"/>
        <w:spacing w:after="292" w:afterLines="50" w:line="640" w:lineRule="exact"/>
        <w:jc w:val="center"/>
        <w:rPr>
          <w:rFonts w:hint="eastAsia" w:eastAsia="方正小标宋简体" w:cs="方正小标宋简体"/>
          <w:snapToGrid w:val="0"/>
          <w:color w:val="000000"/>
          <w:sz w:val="44"/>
          <w:szCs w:val="44"/>
        </w:rPr>
      </w:pPr>
      <w:bookmarkStart w:id="0" w:name="_GoBack"/>
      <w:r>
        <w:rPr>
          <w:rFonts w:hint="eastAsia" w:eastAsia="方正小标宋简体" w:cs="方正小标宋简体"/>
          <w:snapToGrid w:val="0"/>
          <w:color w:val="000000"/>
          <w:sz w:val="44"/>
          <w:szCs w:val="44"/>
        </w:rPr>
        <w:t>2026年度检验检测机构自查表</w:t>
      </w:r>
      <w:bookmarkEnd w:id="0"/>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9" w:type="dxa"/>
          <w:left w:w="108" w:type="dxa"/>
          <w:bottom w:w="49" w:type="dxa"/>
          <w:right w:w="108" w:type="dxa"/>
        </w:tblCellMar>
      </w:tblPr>
      <w:tblGrid>
        <w:gridCol w:w="915"/>
        <w:gridCol w:w="1478"/>
        <w:gridCol w:w="1236"/>
        <w:gridCol w:w="2721"/>
        <w:gridCol w:w="1436"/>
        <w:gridCol w:w="1281"/>
        <w:gridCol w:w="1470"/>
        <w:gridCol w:w="1426"/>
        <w:gridCol w:w="1010"/>
        <w:gridCol w:w="1186"/>
      </w:tblGrid>
      <w:tr w14:paraId="0D6F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399" w:hRule="atLeast"/>
          <w:jc w:val="center"/>
        </w:trPr>
        <w:tc>
          <w:tcPr>
            <w:tcW w:w="914" w:type="dxa"/>
            <w:vMerge w:val="restart"/>
            <w:noWrap/>
            <w:vAlign w:val="center"/>
          </w:tcPr>
          <w:p w14:paraId="6444A2BA">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基本信息</w:t>
            </w:r>
          </w:p>
        </w:tc>
        <w:tc>
          <w:tcPr>
            <w:tcW w:w="2714" w:type="dxa"/>
            <w:gridSpan w:val="2"/>
            <w:noWrap/>
            <w:vAlign w:val="center"/>
          </w:tcPr>
          <w:p w14:paraId="37D885DB">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法人单位名称</w:t>
            </w:r>
          </w:p>
          <w:p w14:paraId="007791C8">
            <w:pPr>
              <w:overflowPunct/>
              <w:topLinePunct w:val="0"/>
              <w:snapToGrid w:val="0"/>
              <w:spacing w:line="240" w:lineRule="atLeast"/>
              <w:jc w:val="center"/>
              <w:rPr>
                <w:snapToGrid w:val="0"/>
                <w:color w:val="000000"/>
                <w:sz w:val="24"/>
                <w:szCs w:val="24"/>
              </w:rPr>
            </w:pPr>
            <w:r>
              <w:rPr>
                <w:rFonts w:hint="eastAsia"/>
                <w:snapToGrid w:val="0"/>
                <w:color w:val="000000"/>
                <w:sz w:val="21"/>
                <w:szCs w:val="21"/>
              </w:rPr>
              <w:t>（必须与营业执照或法人证书一致）</w:t>
            </w:r>
          </w:p>
        </w:tc>
        <w:tc>
          <w:tcPr>
            <w:tcW w:w="2724" w:type="dxa"/>
            <w:noWrap/>
            <w:vAlign w:val="center"/>
          </w:tcPr>
          <w:p w14:paraId="4FB4C57C">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单位地址</w:t>
            </w:r>
          </w:p>
        </w:tc>
        <w:tc>
          <w:tcPr>
            <w:tcW w:w="2717" w:type="dxa"/>
            <w:gridSpan w:val="2"/>
            <w:noWrap/>
            <w:vAlign w:val="center"/>
          </w:tcPr>
          <w:p w14:paraId="5532738A">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统一社会信用代码</w:t>
            </w:r>
          </w:p>
        </w:tc>
        <w:tc>
          <w:tcPr>
            <w:tcW w:w="1470" w:type="dxa"/>
            <w:noWrap/>
            <w:vAlign w:val="center"/>
          </w:tcPr>
          <w:p w14:paraId="3943608E">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法定代表人</w:t>
            </w:r>
          </w:p>
        </w:tc>
        <w:tc>
          <w:tcPr>
            <w:tcW w:w="1426" w:type="dxa"/>
            <w:noWrap/>
            <w:vAlign w:val="center"/>
          </w:tcPr>
          <w:p w14:paraId="69F83C28">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法定代表人联系电话</w:t>
            </w:r>
          </w:p>
        </w:tc>
        <w:tc>
          <w:tcPr>
            <w:tcW w:w="1009" w:type="dxa"/>
            <w:noWrap/>
            <w:vAlign w:val="center"/>
          </w:tcPr>
          <w:p w14:paraId="43A9B5E3">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联系人</w:t>
            </w:r>
          </w:p>
        </w:tc>
        <w:tc>
          <w:tcPr>
            <w:tcW w:w="1185" w:type="dxa"/>
            <w:noWrap/>
            <w:vAlign w:val="center"/>
          </w:tcPr>
          <w:p w14:paraId="23DF1D53">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联系电话</w:t>
            </w:r>
          </w:p>
        </w:tc>
      </w:tr>
      <w:tr w14:paraId="105C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1159" w:hRule="atLeast"/>
          <w:jc w:val="center"/>
        </w:trPr>
        <w:tc>
          <w:tcPr>
            <w:tcW w:w="914" w:type="dxa"/>
            <w:vMerge w:val="continue"/>
            <w:noWrap w:val="0"/>
            <w:vAlign w:val="center"/>
          </w:tcPr>
          <w:p w14:paraId="1B791CDB">
            <w:pPr>
              <w:snapToGrid w:val="0"/>
              <w:spacing w:line="240" w:lineRule="atLeast"/>
              <w:jc w:val="center"/>
              <w:rPr>
                <w:snapToGrid w:val="0"/>
                <w:color w:val="000000"/>
                <w:sz w:val="24"/>
                <w:szCs w:val="24"/>
              </w:rPr>
            </w:pPr>
          </w:p>
        </w:tc>
        <w:tc>
          <w:tcPr>
            <w:tcW w:w="2714" w:type="dxa"/>
            <w:gridSpan w:val="2"/>
            <w:noWrap/>
            <w:vAlign w:val="center"/>
          </w:tcPr>
          <w:p w14:paraId="05FB9685">
            <w:pPr>
              <w:snapToGrid w:val="0"/>
              <w:spacing w:line="240" w:lineRule="atLeast"/>
              <w:jc w:val="center"/>
              <w:rPr>
                <w:snapToGrid w:val="0"/>
                <w:color w:val="000000"/>
                <w:sz w:val="24"/>
                <w:szCs w:val="24"/>
              </w:rPr>
            </w:pPr>
          </w:p>
        </w:tc>
        <w:tc>
          <w:tcPr>
            <w:tcW w:w="2724" w:type="dxa"/>
            <w:noWrap/>
            <w:vAlign w:val="center"/>
          </w:tcPr>
          <w:p w14:paraId="75E55FFD">
            <w:pPr>
              <w:snapToGrid w:val="0"/>
              <w:spacing w:line="240" w:lineRule="atLeast"/>
              <w:jc w:val="center"/>
              <w:rPr>
                <w:snapToGrid w:val="0"/>
                <w:color w:val="000000"/>
                <w:sz w:val="24"/>
                <w:szCs w:val="24"/>
              </w:rPr>
            </w:pPr>
          </w:p>
        </w:tc>
        <w:tc>
          <w:tcPr>
            <w:tcW w:w="2717" w:type="dxa"/>
            <w:gridSpan w:val="2"/>
            <w:noWrap/>
            <w:vAlign w:val="center"/>
          </w:tcPr>
          <w:p w14:paraId="54D65402">
            <w:pPr>
              <w:snapToGrid w:val="0"/>
              <w:spacing w:line="240" w:lineRule="atLeast"/>
              <w:jc w:val="center"/>
              <w:rPr>
                <w:snapToGrid w:val="0"/>
                <w:color w:val="000000"/>
                <w:sz w:val="24"/>
                <w:szCs w:val="24"/>
              </w:rPr>
            </w:pPr>
          </w:p>
        </w:tc>
        <w:tc>
          <w:tcPr>
            <w:tcW w:w="1470" w:type="dxa"/>
            <w:noWrap/>
            <w:vAlign w:val="center"/>
          </w:tcPr>
          <w:p w14:paraId="3A835245">
            <w:pPr>
              <w:snapToGrid w:val="0"/>
              <w:spacing w:line="240" w:lineRule="atLeast"/>
              <w:jc w:val="center"/>
              <w:rPr>
                <w:snapToGrid w:val="0"/>
                <w:color w:val="000000"/>
                <w:sz w:val="24"/>
                <w:szCs w:val="24"/>
              </w:rPr>
            </w:pPr>
          </w:p>
        </w:tc>
        <w:tc>
          <w:tcPr>
            <w:tcW w:w="1426" w:type="dxa"/>
            <w:noWrap/>
            <w:vAlign w:val="center"/>
          </w:tcPr>
          <w:p w14:paraId="7CEEEFDA">
            <w:pPr>
              <w:snapToGrid w:val="0"/>
              <w:spacing w:line="240" w:lineRule="atLeast"/>
              <w:jc w:val="center"/>
              <w:rPr>
                <w:snapToGrid w:val="0"/>
                <w:color w:val="000000"/>
                <w:sz w:val="24"/>
                <w:szCs w:val="24"/>
              </w:rPr>
            </w:pPr>
          </w:p>
        </w:tc>
        <w:tc>
          <w:tcPr>
            <w:tcW w:w="1009" w:type="dxa"/>
            <w:noWrap/>
            <w:vAlign w:val="center"/>
          </w:tcPr>
          <w:p w14:paraId="286844C6">
            <w:pPr>
              <w:snapToGrid w:val="0"/>
              <w:spacing w:line="240" w:lineRule="atLeast"/>
              <w:jc w:val="center"/>
              <w:rPr>
                <w:snapToGrid w:val="0"/>
                <w:color w:val="000000"/>
                <w:sz w:val="24"/>
                <w:szCs w:val="24"/>
              </w:rPr>
            </w:pPr>
          </w:p>
        </w:tc>
        <w:tc>
          <w:tcPr>
            <w:tcW w:w="1185" w:type="dxa"/>
            <w:noWrap/>
            <w:vAlign w:val="center"/>
          </w:tcPr>
          <w:p w14:paraId="6F52FA3C">
            <w:pPr>
              <w:snapToGrid w:val="0"/>
              <w:spacing w:line="240" w:lineRule="atLeast"/>
              <w:jc w:val="center"/>
              <w:rPr>
                <w:snapToGrid w:val="0"/>
                <w:color w:val="000000"/>
                <w:sz w:val="24"/>
                <w:szCs w:val="24"/>
              </w:rPr>
            </w:pPr>
          </w:p>
        </w:tc>
      </w:tr>
      <w:tr w14:paraId="00BE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444" w:hRule="atLeast"/>
          <w:jc w:val="center"/>
        </w:trPr>
        <w:tc>
          <w:tcPr>
            <w:tcW w:w="914" w:type="dxa"/>
            <w:vMerge w:val="restart"/>
            <w:noWrap/>
            <w:vAlign w:val="center"/>
          </w:tcPr>
          <w:p w14:paraId="56E147D7">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取得资质认定的情况</w:t>
            </w:r>
          </w:p>
        </w:tc>
        <w:tc>
          <w:tcPr>
            <w:tcW w:w="1479" w:type="dxa"/>
            <w:noWrap/>
            <w:vAlign w:val="center"/>
          </w:tcPr>
          <w:p w14:paraId="38C84CA7">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被授权机构名称</w:t>
            </w:r>
          </w:p>
        </w:tc>
        <w:tc>
          <w:tcPr>
            <w:tcW w:w="1235" w:type="dxa"/>
            <w:noWrap/>
            <w:vAlign w:val="center"/>
          </w:tcPr>
          <w:p w14:paraId="7A42C4FD">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证书编号</w:t>
            </w:r>
          </w:p>
        </w:tc>
        <w:tc>
          <w:tcPr>
            <w:tcW w:w="2724" w:type="dxa"/>
            <w:noWrap/>
            <w:vAlign w:val="center"/>
          </w:tcPr>
          <w:p w14:paraId="0980674A">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发证机关名称</w:t>
            </w:r>
          </w:p>
        </w:tc>
        <w:tc>
          <w:tcPr>
            <w:tcW w:w="1436" w:type="dxa"/>
            <w:noWrap/>
            <w:vAlign w:val="center"/>
          </w:tcPr>
          <w:p w14:paraId="2A199B47">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批准日期</w:t>
            </w:r>
          </w:p>
        </w:tc>
        <w:tc>
          <w:tcPr>
            <w:tcW w:w="1281" w:type="dxa"/>
            <w:noWrap/>
            <w:vAlign w:val="center"/>
          </w:tcPr>
          <w:p w14:paraId="77F6676A">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有效日期</w:t>
            </w:r>
          </w:p>
        </w:tc>
        <w:tc>
          <w:tcPr>
            <w:tcW w:w="1470" w:type="dxa"/>
            <w:noWrap/>
            <w:vAlign w:val="center"/>
          </w:tcPr>
          <w:p w14:paraId="6B0E4C99">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最高管理者</w:t>
            </w:r>
          </w:p>
        </w:tc>
        <w:tc>
          <w:tcPr>
            <w:tcW w:w="1426" w:type="dxa"/>
            <w:noWrap/>
            <w:vAlign w:val="center"/>
          </w:tcPr>
          <w:p w14:paraId="70D6D521">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最高管理者联系电话</w:t>
            </w:r>
          </w:p>
        </w:tc>
        <w:tc>
          <w:tcPr>
            <w:tcW w:w="1009" w:type="dxa"/>
            <w:noWrap/>
            <w:vAlign w:val="center"/>
          </w:tcPr>
          <w:p w14:paraId="0C0043ED">
            <w:pPr>
              <w:snapToGrid w:val="0"/>
              <w:spacing w:line="240" w:lineRule="atLeast"/>
              <w:jc w:val="center"/>
              <w:rPr>
                <w:rFonts w:hint="eastAsia" w:ascii="Times New Roman" w:hAnsi="Times New Roman" w:eastAsia="黑体"/>
                <w:snapToGrid w:val="0"/>
                <w:color w:val="000000"/>
                <w:sz w:val="24"/>
                <w:szCs w:val="24"/>
              </w:rPr>
            </w:pPr>
            <w:r>
              <w:rPr>
                <w:rFonts w:hint="eastAsia" w:eastAsia="黑体"/>
                <w:snapToGrid w:val="0"/>
                <w:color w:val="000000"/>
                <w:sz w:val="24"/>
                <w:szCs w:val="24"/>
              </w:rPr>
              <w:t>技术</w:t>
            </w:r>
          </w:p>
          <w:p w14:paraId="55D1AE90">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负责人</w:t>
            </w:r>
          </w:p>
        </w:tc>
        <w:tc>
          <w:tcPr>
            <w:tcW w:w="1185" w:type="dxa"/>
            <w:noWrap/>
            <w:vAlign w:val="center"/>
          </w:tcPr>
          <w:p w14:paraId="67CBD604">
            <w:pPr>
              <w:snapToGrid w:val="0"/>
              <w:spacing w:line="240" w:lineRule="atLeast"/>
              <w:jc w:val="center"/>
              <w:rPr>
                <w:rFonts w:hint="eastAsia" w:ascii="Times New Roman" w:hAnsi="Times New Roman" w:eastAsia="黑体"/>
                <w:snapToGrid w:val="0"/>
                <w:color w:val="000000"/>
                <w:sz w:val="24"/>
                <w:szCs w:val="24"/>
              </w:rPr>
            </w:pPr>
            <w:r>
              <w:rPr>
                <w:rFonts w:hint="eastAsia" w:eastAsia="黑体"/>
                <w:snapToGrid w:val="0"/>
                <w:color w:val="000000"/>
                <w:sz w:val="24"/>
                <w:szCs w:val="24"/>
              </w:rPr>
              <w:t>授权</w:t>
            </w:r>
          </w:p>
          <w:p w14:paraId="0D2A0F27">
            <w:pPr>
              <w:snapToGrid w:val="0"/>
              <w:spacing w:line="240" w:lineRule="atLeast"/>
              <w:jc w:val="center"/>
              <w:rPr>
                <w:rFonts w:eastAsia="黑体"/>
                <w:snapToGrid w:val="0"/>
                <w:color w:val="000000"/>
                <w:sz w:val="21"/>
                <w:szCs w:val="21"/>
              </w:rPr>
            </w:pPr>
            <w:r>
              <w:rPr>
                <w:rFonts w:hint="eastAsia" w:eastAsia="黑体"/>
                <w:snapToGrid w:val="0"/>
                <w:color w:val="000000"/>
                <w:sz w:val="24"/>
                <w:szCs w:val="24"/>
              </w:rPr>
              <w:t>签字人</w:t>
            </w:r>
          </w:p>
        </w:tc>
      </w:tr>
      <w:tr w14:paraId="5901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610" w:hRule="atLeast"/>
          <w:jc w:val="center"/>
        </w:trPr>
        <w:tc>
          <w:tcPr>
            <w:tcW w:w="914" w:type="dxa"/>
            <w:vMerge w:val="continue"/>
            <w:noWrap w:val="0"/>
            <w:vAlign w:val="center"/>
          </w:tcPr>
          <w:p w14:paraId="0AE97B01">
            <w:pPr>
              <w:snapToGrid w:val="0"/>
              <w:spacing w:line="240" w:lineRule="atLeast"/>
              <w:jc w:val="center"/>
              <w:rPr>
                <w:snapToGrid w:val="0"/>
                <w:color w:val="000000"/>
                <w:sz w:val="24"/>
                <w:szCs w:val="24"/>
              </w:rPr>
            </w:pPr>
          </w:p>
        </w:tc>
        <w:tc>
          <w:tcPr>
            <w:tcW w:w="1479" w:type="dxa"/>
            <w:noWrap/>
            <w:vAlign w:val="center"/>
          </w:tcPr>
          <w:p w14:paraId="0684C221">
            <w:pPr>
              <w:snapToGrid w:val="0"/>
              <w:spacing w:line="240" w:lineRule="atLeast"/>
              <w:jc w:val="center"/>
              <w:rPr>
                <w:snapToGrid w:val="0"/>
                <w:color w:val="000000"/>
                <w:sz w:val="24"/>
                <w:szCs w:val="24"/>
              </w:rPr>
            </w:pPr>
          </w:p>
        </w:tc>
        <w:tc>
          <w:tcPr>
            <w:tcW w:w="1235" w:type="dxa"/>
            <w:noWrap/>
            <w:vAlign w:val="center"/>
          </w:tcPr>
          <w:p w14:paraId="13A1B679">
            <w:pPr>
              <w:snapToGrid w:val="0"/>
              <w:spacing w:line="240" w:lineRule="atLeast"/>
              <w:jc w:val="center"/>
              <w:rPr>
                <w:snapToGrid w:val="0"/>
                <w:color w:val="000000"/>
                <w:sz w:val="24"/>
                <w:szCs w:val="24"/>
              </w:rPr>
            </w:pPr>
          </w:p>
        </w:tc>
        <w:tc>
          <w:tcPr>
            <w:tcW w:w="2724" w:type="dxa"/>
            <w:noWrap/>
            <w:vAlign w:val="center"/>
          </w:tcPr>
          <w:p w14:paraId="543FAAC0">
            <w:pPr>
              <w:snapToGrid w:val="0"/>
              <w:spacing w:line="240" w:lineRule="atLeast"/>
              <w:jc w:val="center"/>
              <w:rPr>
                <w:snapToGrid w:val="0"/>
                <w:color w:val="000000"/>
                <w:sz w:val="24"/>
                <w:szCs w:val="24"/>
              </w:rPr>
            </w:pPr>
          </w:p>
        </w:tc>
        <w:tc>
          <w:tcPr>
            <w:tcW w:w="1436" w:type="dxa"/>
            <w:noWrap/>
            <w:vAlign w:val="center"/>
          </w:tcPr>
          <w:p w14:paraId="01058159">
            <w:pPr>
              <w:snapToGrid w:val="0"/>
              <w:spacing w:line="240" w:lineRule="atLeast"/>
              <w:jc w:val="center"/>
              <w:rPr>
                <w:snapToGrid w:val="0"/>
                <w:color w:val="000000"/>
                <w:sz w:val="24"/>
                <w:szCs w:val="24"/>
              </w:rPr>
            </w:pPr>
          </w:p>
        </w:tc>
        <w:tc>
          <w:tcPr>
            <w:tcW w:w="1281" w:type="dxa"/>
            <w:noWrap/>
            <w:vAlign w:val="center"/>
          </w:tcPr>
          <w:p w14:paraId="724F91D6">
            <w:pPr>
              <w:snapToGrid w:val="0"/>
              <w:spacing w:line="240" w:lineRule="atLeast"/>
              <w:jc w:val="center"/>
              <w:rPr>
                <w:snapToGrid w:val="0"/>
                <w:color w:val="000000"/>
                <w:sz w:val="24"/>
                <w:szCs w:val="24"/>
              </w:rPr>
            </w:pPr>
          </w:p>
        </w:tc>
        <w:tc>
          <w:tcPr>
            <w:tcW w:w="1470" w:type="dxa"/>
            <w:noWrap/>
            <w:vAlign w:val="center"/>
          </w:tcPr>
          <w:p w14:paraId="3EE3A476">
            <w:pPr>
              <w:snapToGrid w:val="0"/>
              <w:spacing w:line="240" w:lineRule="atLeast"/>
              <w:jc w:val="center"/>
              <w:rPr>
                <w:snapToGrid w:val="0"/>
                <w:color w:val="000000"/>
                <w:sz w:val="24"/>
                <w:szCs w:val="24"/>
              </w:rPr>
            </w:pPr>
          </w:p>
        </w:tc>
        <w:tc>
          <w:tcPr>
            <w:tcW w:w="1426" w:type="dxa"/>
            <w:noWrap/>
            <w:vAlign w:val="center"/>
          </w:tcPr>
          <w:p w14:paraId="3F7097F6">
            <w:pPr>
              <w:snapToGrid w:val="0"/>
              <w:spacing w:line="240" w:lineRule="atLeast"/>
              <w:jc w:val="center"/>
              <w:rPr>
                <w:snapToGrid w:val="0"/>
                <w:color w:val="000000"/>
                <w:sz w:val="24"/>
                <w:szCs w:val="24"/>
              </w:rPr>
            </w:pPr>
          </w:p>
        </w:tc>
        <w:tc>
          <w:tcPr>
            <w:tcW w:w="1009" w:type="dxa"/>
            <w:noWrap/>
            <w:vAlign w:val="center"/>
          </w:tcPr>
          <w:p w14:paraId="6CAC70F1">
            <w:pPr>
              <w:snapToGrid w:val="0"/>
              <w:spacing w:line="240" w:lineRule="atLeast"/>
              <w:jc w:val="center"/>
              <w:rPr>
                <w:snapToGrid w:val="0"/>
                <w:color w:val="000000"/>
                <w:sz w:val="24"/>
                <w:szCs w:val="24"/>
              </w:rPr>
            </w:pPr>
          </w:p>
        </w:tc>
        <w:tc>
          <w:tcPr>
            <w:tcW w:w="1185" w:type="dxa"/>
            <w:noWrap/>
            <w:vAlign w:val="center"/>
          </w:tcPr>
          <w:p w14:paraId="1992C2CE">
            <w:pPr>
              <w:snapToGrid w:val="0"/>
              <w:spacing w:line="240" w:lineRule="atLeast"/>
              <w:jc w:val="center"/>
              <w:rPr>
                <w:snapToGrid w:val="0"/>
                <w:color w:val="000000"/>
                <w:sz w:val="24"/>
                <w:szCs w:val="24"/>
              </w:rPr>
            </w:pPr>
          </w:p>
        </w:tc>
      </w:tr>
      <w:tr w14:paraId="17CC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444" w:hRule="atLeast"/>
          <w:jc w:val="center"/>
        </w:trPr>
        <w:tc>
          <w:tcPr>
            <w:tcW w:w="914" w:type="dxa"/>
            <w:vMerge w:val="continue"/>
            <w:noWrap w:val="0"/>
            <w:vAlign w:val="center"/>
          </w:tcPr>
          <w:p w14:paraId="3EA056E7">
            <w:pPr>
              <w:snapToGrid w:val="0"/>
              <w:spacing w:line="240" w:lineRule="atLeast"/>
              <w:jc w:val="center"/>
              <w:rPr>
                <w:snapToGrid w:val="0"/>
                <w:color w:val="000000"/>
                <w:sz w:val="24"/>
                <w:szCs w:val="24"/>
              </w:rPr>
            </w:pPr>
          </w:p>
        </w:tc>
        <w:tc>
          <w:tcPr>
            <w:tcW w:w="1479" w:type="dxa"/>
            <w:noWrap/>
            <w:vAlign w:val="center"/>
          </w:tcPr>
          <w:p w14:paraId="56B89692">
            <w:pPr>
              <w:snapToGrid w:val="0"/>
              <w:spacing w:line="240" w:lineRule="atLeast"/>
              <w:jc w:val="center"/>
              <w:rPr>
                <w:snapToGrid w:val="0"/>
                <w:color w:val="000000"/>
                <w:sz w:val="24"/>
                <w:szCs w:val="24"/>
              </w:rPr>
            </w:pPr>
          </w:p>
        </w:tc>
        <w:tc>
          <w:tcPr>
            <w:tcW w:w="1235" w:type="dxa"/>
            <w:noWrap/>
            <w:vAlign w:val="center"/>
          </w:tcPr>
          <w:p w14:paraId="63463FBA">
            <w:pPr>
              <w:snapToGrid w:val="0"/>
              <w:spacing w:line="240" w:lineRule="atLeast"/>
              <w:jc w:val="center"/>
              <w:rPr>
                <w:snapToGrid w:val="0"/>
                <w:color w:val="000000"/>
                <w:sz w:val="24"/>
                <w:szCs w:val="24"/>
              </w:rPr>
            </w:pPr>
          </w:p>
        </w:tc>
        <w:tc>
          <w:tcPr>
            <w:tcW w:w="2724" w:type="dxa"/>
            <w:noWrap/>
            <w:vAlign w:val="center"/>
          </w:tcPr>
          <w:p w14:paraId="7508B1B7">
            <w:pPr>
              <w:snapToGrid w:val="0"/>
              <w:spacing w:line="240" w:lineRule="atLeast"/>
              <w:jc w:val="center"/>
              <w:rPr>
                <w:snapToGrid w:val="0"/>
                <w:color w:val="000000"/>
                <w:sz w:val="24"/>
                <w:szCs w:val="24"/>
              </w:rPr>
            </w:pPr>
          </w:p>
        </w:tc>
        <w:tc>
          <w:tcPr>
            <w:tcW w:w="1436" w:type="dxa"/>
            <w:noWrap/>
            <w:vAlign w:val="center"/>
          </w:tcPr>
          <w:p w14:paraId="71B3DE0D">
            <w:pPr>
              <w:snapToGrid w:val="0"/>
              <w:spacing w:line="240" w:lineRule="atLeast"/>
              <w:jc w:val="center"/>
              <w:rPr>
                <w:snapToGrid w:val="0"/>
                <w:color w:val="000000"/>
                <w:sz w:val="24"/>
                <w:szCs w:val="24"/>
              </w:rPr>
            </w:pPr>
          </w:p>
        </w:tc>
        <w:tc>
          <w:tcPr>
            <w:tcW w:w="1281" w:type="dxa"/>
            <w:noWrap/>
            <w:vAlign w:val="center"/>
          </w:tcPr>
          <w:p w14:paraId="24BFFE0A">
            <w:pPr>
              <w:snapToGrid w:val="0"/>
              <w:spacing w:line="240" w:lineRule="atLeast"/>
              <w:jc w:val="center"/>
              <w:rPr>
                <w:snapToGrid w:val="0"/>
                <w:color w:val="000000"/>
                <w:sz w:val="24"/>
                <w:szCs w:val="24"/>
              </w:rPr>
            </w:pPr>
          </w:p>
        </w:tc>
        <w:tc>
          <w:tcPr>
            <w:tcW w:w="1470" w:type="dxa"/>
            <w:noWrap/>
            <w:vAlign w:val="center"/>
          </w:tcPr>
          <w:p w14:paraId="4A9CFCEE">
            <w:pPr>
              <w:snapToGrid w:val="0"/>
              <w:spacing w:line="240" w:lineRule="atLeast"/>
              <w:jc w:val="center"/>
              <w:rPr>
                <w:snapToGrid w:val="0"/>
                <w:color w:val="000000"/>
                <w:sz w:val="24"/>
                <w:szCs w:val="24"/>
              </w:rPr>
            </w:pPr>
          </w:p>
        </w:tc>
        <w:tc>
          <w:tcPr>
            <w:tcW w:w="1426" w:type="dxa"/>
            <w:noWrap/>
            <w:vAlign w:val="center"/>
          </w:tcPr>
          <w:p w14:paraId="10742231">
            <w:pPr>
              <w:snapToGrid w:val="0"/>
              <w:spacing w:line="240" w:lineRule="atLeast"/>
              <w:jc w:val="center"/>
              <w:rPr>
                <w:snapToGrid w:val="0"/>
                <w:color w:val="000000"/>
                <w:sz w:val="24"/>
                <w:szCs w:val="24"/>
              </w:rPr>
            </w:pPr>
          </w:p>
        </w:tc>
        <w:tc>
          <w:tcPr>
            <w:tcW w:w="1009" w:type="dxa"/>
            <w:noWrap/>
            <w:vAlign w:val="center"/>
          </w:tcPr>
          <w:p w14:paraId="0DEED6CF">
            <w:pPr>
              <w:snapToGrid w:val="0"/>
              <w:spacing w:line="240" w:lineRule="atLeast"/>
              <w:jc w:val="center"/>
              <w:rPr>
                <w:snapToGrid w:val="0"/>
                <w:color w:val="000000"/>
                <w:sz w:val="24"/>
                <w:szCs w:val="24"/>
              </w:rPr>
            </w:pPr>
          </w:p>
        </w:tc>
        <w:tc>
          <w:tcPr>
            <w:tcW w:w="1185" w:type="dxa"/>
            <w:noWrap/>
            <w:vAlign w:val="center"/>
          </w:tcPr>
          <w:p w14:paraId="6BB252BD">
            <w:pPr>
              <w:snapToGrid w:val="0"/>
              <w:spacing w:line="240" w:lineRule="atLeast"/>
              <w:jc w:val="center"/>
              <w:rPr>
                <w:snapToGrid w:val="0"/>
                <w:color w:val="000000"/>
                <w:sz w:val="24"/>
                <w:szCs w:val="24"/>
              </w:rPr>
            </w:pPr>
          </w:p>
        </w:tc>
      </w:tr>
      <w:tr w14:paraId="6136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420" w:hRule="atLeast"/>
          <w:jc w:val="center"/>
        </w:trPr>
        <w:tc>
          <w:tcPr>
            <w:tcW w:w="914" w:type="dxa"/>
            <w:noWrap/>
            <w:vAlign w:val="center"/>
          </w:tcPr>
          <w:p w14:paraId="3C24C2CE">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序号</w:t>
            </w:r>
          </w:p>
        </w:tc>
        <w:tc>
          <w:tcPr>
            <w:tcW w:w="2714" w:type="dxa"/>
            <w:gridSpan w:val="2"/>
            <w:noWrap/>
            <w:vAlign w:val="center"/>
          </w:tcPr>
          <w:p w14:paraId="31D055DE">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自查内容</w:t>
            </w:r>
          </w:p>
        </w:tc>
        <w:tc>
          <w:tcPr>
            <w:tcW w:w="5441" w:type="dxa"/>
            <w:gridSpan w:val="3"/>
            <w:noWrap/>
            <w:vAlign w:val="center"/>
          </w:tcPr>
          <w:p w14:paraId="74CD932A">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检查方法及证明材料要求</w:t>
            </w:r>
          </w:p>
        </w:tc>
        <w:tc>
          <w:tcPr>
            <w:tcW w:w="2896" w:type="dxa"/>
            <w:gridSpan w:val="2"/>
            <w:noWrap/>
            <w:vAlign w:val="center"/>
          </w:tcPr>
          <w:p w14:paraId="757538B9">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是否发现问题</w:t>
            </w:r>
          </w:p>
          <w:p w14:paraId="185DFD90">
            <w:pPr>
              <w:snapToGrid w:val="0"/>
              <w:spacing w:line="240" w:lineRule="atLeast"/>
              <w:jc w:val="center"/>
              <w:rPr>
                <w:rFonts w:eastAsia="黑体"/>
                <w:snapToGrid w:val="0"/>
                <w:color w:val="000000"/>
                <w:sz w:val="21"/>
                <w:szCs w:val="21"/>
              </w:rPr>
            </w:pPr>
            <w:r>
              <w:rPr>
                <w:rFonts w:hint="eastAsia"/>
                <w:snapToGrid w:val="0"/>
                <w:color w:val="000000"/>
                <w:sz w:val="21"/>
                <w:szCs w:val="21"/>
              </w:rPr>
              <w:t>（选择）</w:t>
            </w:r>
          </w:p>
        </w:tc>
        <w:tc>
          <w:tcPr>
            <w:tcW w:w="2194" w:type="dxa"/>
            <w:gridSpan w:val="2"/>
            <w:noWrap/>
            <w:vAlign w:val="center"/>
          </w:tcPr>
          <w:p w14:paraId="1B9F54D2">
            <w:pPr>
              <w:snapToGrid w:val="0"/>
              <w:spacing w:line="240" w:lineRule="atLeast"/>
              <w:jc w:val="center"/>
              <w:rPr>
                <w:rFonts w:eastAsia="黑体"/>
                <w:snapToGrid w:val="0"/>
                <w:color w:val="000000"/>
                <w:sz w:val="24"/>
                <w:szCs w:val="24"/>
              </w:rPr>
            </w:pPr>
            <w:r>
              <w:rPr>
                <w:rFonts w:hint="eastAsia" w:eastAsia="黑体"/>
                <w:snapToGrid w:val="0"/>
                <w:color w:val="000000"/>
                <w:sz w:val="24"/>
                <w:szCs w:val="24"/>
              </w:rPr>
              <w:t>问题描述</w:t>
            </w:r>
          </w:p>
        </w:tc>
      </w:tr>
      <w:tr w14:paraId="237C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983" w:hRule="atLeast"/>
          <w:jc w:val="center"/>
        </w:trPr>
        <w:tc>
          <w:tcPr>
            <w:tcW w:w="914" w:type="dxa"/>
            <w:noWrap w:val="0"/>
            <w:vAlign w:val="center"/>
          </w:tcPr>
          <w:p w14:paraId="04A70205">
            <w:pPr>
              <w:snapToGrid w:val="0"/>
              <w:spacing w:line="240" w:lineRule="atLeast"/>
              <w:jc w:val="center"/>
              <w:rPr>
                <w:snapToGrid w:val="0"/>
                <w:color w:val="000000"/>
                <w:sz w:val="24"/>
                <w:szCs w:val="24"/>
              </w:rPr>
            </w:pPr>
            <w:r>
              <w:rPr>
                <w:snapToGrid w:val="0"/>
                <w:color w:val="000000"/>
                <w:sz w:val="24"/>
                <w:szCs w:val="24"/>
              </w:rPr>
              <w:t>1</w:t>
            </w:r>
          </w:p>
        </w:tc>
        <w:tc>
          <w:tcPr>
            <w:tcW w:w="2714" w:type="dxa"/>
            <w:gridSpan w:val="2"/>
            <w:noWrap/>
            <w:vAlign w:val="center"/>
          </w:tcPr>
          <w:p w14:paraId="52836BB6">
            <w:pPr>
              <w:snapToGrid w:val="0"/>
              <w:spacing w:line="240" w:lineRule="atLeast"/>
              <w:rPr>
                <w:snapToGrid w:val="0"/>
                <w:color w:val="000000"/>
                <w:sz w:val="24"/>
                <w:szCs w:val="24"/>
              </w:rPr>
            </w:pPr>
            <w:r>
              <w:rPr>
                <w:rFonts w:hint="eastAsia"/>
                <w:snapToGrid w:val="0"/>
                <w:color w:val="000000"/>
                <w:sz w:val="24"/>
                <w:szCs w:val="24"/>
              </w:rPr>
              <w:t>机构应为依法成立，能承担相应法律责任的法人单位或其他组织</w:t>
            </w:r>
          </w:p>
        </w:tc>
        <w:tc>
          <w:tcPr>
            <w:tcW w:w="5441" w:type="dxa"/>
            <w:gridSpan w:val="3"/>
            <w:noWrap w:val="0"/>
            <w:vAlign w:val="center"/>
          </w:tcPr>
          <w:p w14:paraId="3A740AA4">
            <w:pPr>
              <w:snapToGrid w:val="0"/>
              <w:spacing w:line="240" w:lineRule="atLeast"/>
              <w:rPr>
                <w:rFonts w:hint="eastAsia"/>
                <w:snapToGrid w:val="0"/>
                <w:color w:val="000000"/>
                <w:sz w:val="24"/>
                <w:szCs w:val="24"/>
              </w:rPr>
            </w:pPr>
            <w:r>
              <w:rPr>
                <w:rFonts w:hint="eastAsia"/>
                <w:snapToGrid w:val="0"/>
                <w:color w:val="000000"/>
                <w:sz w:val="24"/>
                <w:szCs w:val="24"/>
              </w:rPr>
              <w:t>检查法人证书、营业执照或授权文件：</w:t>
            </w:r>
          </w:p>
          <w:p w14:paraId="42AF3D95">
            <w:pPr>
              <w:snapToGrid w:val="0"/>
              <w:spacing w:line="240" w:lineRule="atLeast"/>
              <w:rPr>
                <w:rFonts w:hint="eastAsia"/>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）企业性质的，应取得营业执照；</w:t>
            </w:r>
          </w:p>
          <w:p w14:paraId="5A0CAF7E">
            <w:pPr>
              <w:snapToGrid w:val="0"/>
              <w:spacing w:line="240" w:lineRule="atLeast"/>
              <w:rPr>
                <w:rFonts w:hint="eastAsia"/>
                <w:snapToGrid w:val="0"/>
                <w:color w:val="000000"/>
                <w:spacing w:val="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）事业、机关应取得编办批准的事业单位法人证书；</w:t>
            </w:r>
          </w:p>
          <w:p w14:paraId="27C5F212">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）社团法人应取得民政部门批准的社团法人证书；</w:t>
            </w:r>
          </w:p>
          <w:p w14:paraId="10876612">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4</w:t>
            </w:r>
            <w:r>
              <w:rPr>
                <w:rFonts w:hint="eastAsia"/>
                <w:snapToGrid w:val="0"/>
                <w:color w:val="000000"/>
                <w:sz w:val="24"/>
                <w:szCs w:val="24"/>
              </w:rPr>
              <w:t>）其他组织应当取得相应管理部门的批准文件；</w:t>
            </w:r>
          </w:p>
          <w:p w14:paraId="5DFF52B9">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5</w:t>
            </w:r>
            <w:r>
              <w:rPr>
                <w:rFonts w:hint="eastAsia"/>
                <w:snapToGrid w:val="0"/>
                <w:color w:val="000000"/>
                <w:sz w:val="24"/>
                <w:szCs w:val="24"/>
              </w:rPr>
              <w:t>）非独立法人的，应获得所属法人的授权，有授权文件及不干预检验检测活动的声明（或文件）；</w:t>
            </w:r>
          </w:p>
          <w:p w14:paraId="657040F9">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6</w:t>
            </w:r>
            <w:r>
              <w:rPr>
                <w:rFonts w:hint="eastAsia"/>
                <w:snapToGrid w:val="0"/>
                <w:color w:val="000000"/>
                <w:sz w:val="24"/>
                <w:szCs w:val="24"/>
              </w:rPr>
              <w:t>）机构如果已经依法终止，应向发证机关申请注销资质认定证书。</w:t>
            </w:r>
          </w:p>
        </w:tc>
        <w:tc>
          <w:tcPr>
            <w:tcW w:w="2896" w:type="dxa"/>
            <w:gridSpan w:val="2"/>
            <w:noWrap w:val="0"/>
            <w:vAlign w:val="center"/>
          </w:tcPr>
          <w:p w14:paraId="6C349A37">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2201751B">
            <w:pPr>
              <w:snapToGrid w:val="0"/>
              <w:spacing w:line="240" w:lineRule="atLeast"/>
              <w:jc w:val="center"/>
              <w:rPr>
                <w:snapToGrid w:val="0"/>
                <w:color w:val="000000"/>
                <w:sz w:val="24"/>
                <w:szCs w:val="24"/>
              </w:rPr>
            </w:pPr>
          </w:p>
        </w:tc>
      </w:tr>
      <w:tr w14:paraId="0699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921" w:hRule="atLeast"/>
          <w:jc w:val="center"/>
        </w:trPr>
        <w:tc>
          <w:tcPr>
            <w:tcW w:w="914" w:type="dxa"/>
            <w:noWrap/>
            <w:vAlign w:val="center"/>
          </w:tcPr>
          <w:p w14:paraId="1421946E">
            <w:pPr>
              <w:snapToGrid w:val="0"/>
              <w:spacing w:line="240" w:lineRule="atLeast"/>
              <w:jc w:val="center"/>
              <w:rPr>
                <w:snapToGrid w:val="0"/>
                <w:color w:val="000000"/>
                <w:sz w:val="24"/>
                <w:szCs w:val="24"/>
              </w:rPr>
            </w:pPr>
            <w:r>
              <w:rPr>
                <w:snapToGrid w:val="0"/>
                <w:color w:val="000000"/>
                <w:sz w:val="24"/>
                <w:szCs w:val="24"/>
              </w:rPr>
              <w:t>2</w:t>
            </w:r>
          </w:p>
        </w:tc>
        <w:tc>
          <w:tcPr>
            <w:tcW w:w="2714" w:type="dxa"/>
            <w:gridSpan w:val="2"/>
            <w:noWrap/>
            <w:vAlign w:val="center"/>
          </w:tcPr>
          <w:p w14:paraId="6F49BB6A">
            <w:pPr>
              <w:snapToGrid w:val="0"/>
              <w:spacing w:line="240" w:lineRule="atLeast"/>
              <w:rPr>
                <w:snapToGrid w:val="0"/>
                <w:color w:val="000000"/>
                <w:sz w:val="24"/>
                <w:szCs w:val="24"/>
              </w:rPr>
            </w:pPr>
            <w:r>
              <w:rPr>
                <w:rFonts w:hint="eastAsia"/>
                <w:snapToGrid w:val="0"/>
                <w:color w:val="000000"/>
                <w:sz w:val="24"/>
                <w:szCs w:val="24"/>
              </w:rPr>
              <w:t>机构依法设立的异地分支机构，应通过资质认定</w:t>
            </w:r>
          </w:p>
        </w:tc>
        <w:tc>
          <w:tcPr>
            <w:tcW w:w="5441" w:type="dxa"/>
            <w:gridSpan w:val="3"/>
            <w:noWrap w:val="0"/>
            <w:vAlign w:val="center"/>
          </w:tcPr>
          <w:p w14:paraId="738FEEC3">
            <w:pPr>
              <w:snapToGrid w:val="0"/>
              <w:spacing w:line="240" w:lineRule="atLeast"/>
              <w:rPr>
                <w:snapToGrid w:val="0"/>
                <w:color w:val="000000"/>
                <w:sz w:val="24"/>
                <w:szCs w:val="24"/>
              </w:rPr>
            </w:pPr>
            <w:r>
              <w:rPr>
                <w:rFonts w:hint="eastAsia"/>
                <w:snapToGrid w:val="0"/>
                <w:color w:val="000000"/>
                <w:sz w:val="24"/>
                <w:szCs w:val="24"/>
              </w:rPr>
              <w:t>检验检测机构的异地分支机构应取得资质认定，分场所应纳入资质认定范围。</w:t>
            </w:r>
          </w:p>
        </w:tc>
        <w:tc>
          <w:tcPr>
            <w:tcW w:w="2896" w:type="dxa"/>
            <w:gridSpan w:val="2"/>
            <w:noWrap w:val="0"/>
            <w:vAlign w:val="center"/>
          </w:tcPr>
          <w:p w14:paraId="3FCFDF20">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3F514521">
            <w:pPr>
              <w:snapToGrid w:val="0"/>
              <w:spacing w:line="240" w:lineRule="atLeast"/>
              <w:jc w:val="center"/>
              <w:rPr>
                <w:snapToGrid w:val="0"/>
                <w:color w:val="000000"/>
                <w:sz w:val="24"/>
                <w:szCs w:val="24"/>
              </w:rPr>
            </w:pPr>
          </w:p>
        </w:tc>
      </w:tr>
      <w:tr w14:paraId="0AE7E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921" w:hRule="atLeast"/>
          <w:jc w:val="center"/>
        </w:trPr>
        <w:tc>
          <w:tcPr>
            <w:tcW w:w="914" w:type="dxa"/>
            <w:noWrap/>
            <w:vAlign w:val="center"/>
          </w:tcPr>
          <w:p w14:paraId="2926D9D7">
            <w:pPr>
              <w:snapToGrid w:val="0"/>
              <w:spacing w:line="240" w:lineRule="atLeast"/>
              <w:jc w:val="center"/>
              <w:rPr>
                <w:snapToGrid w:val="0"/>
                <w:color w:val="000000"/>
                <w:sz w:val="24"/>
                <w:szCs w:val="24"/>
              </w:rPr>
            </w:pPr>
            <w:r>
              <w:rPr>
                <w:snapToGrid w:val="0"/>
                <w:color w:val="000000"/>
                <w:sz w:val="24"/>
                <w:szCs w:val="24"/>
              </w:rPr>
              <w:t>3</w:t>
            </w:r>
          </w:p>
        </w:tc>
        <w:tc>
          <w:tcPr>
            <w:tcW w:w="2714" w:type="dxa"/>
            <w:gridSpan w:val="2"/>
            <w:noWrap/>
            <w:vAlign w:val="center"/>
          </w:tcPr>
          <w:p w14:paraId="76DDA754">
            <w:pPr>
              <w:snapToGrid w:val="0"/>
              <w:spacing w:line="240" w:lineRule="atLeast"/>
              <w:rPr>
                <w:snapToGrid w:val="0"/>
                <w:color w:val="000000"/>
                <w:sz w:val="24"/>
                <w:szCs w:val="24"/>
              </w:rPr>
            </w:pPr>
            <w:r>
              <w:rPr>
                <w:rFonts w:hint="eastAsia"/>
                <w:snapToGrid w:val="0"/>
                <w:color w:val="000000"/>
                <w:sz w:val="24"/>
                <w:szCs w:val="24"/>
              </w:rPr>
              <w:t>机构应具备独立性、公正性地位</w:t>
            </w:r>
          </w:p>
        </w:tc>
        <w:tc>
          <w:tcPr>
            <w:tcW w:w="5441" w:type="dxa"/>
            <w:gridSpan w:val="3"/>
            <w:noWrap w:val="0"/>
            <w:vAlign w:val="center"/>
          </w:tcPr>
          <w:p w14:paraId="76530CD2">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）机构的业务或经营范围中应包括检验、检测或与之相关的内容。</w:t>
            </w:r>
          </w:p>
          <w:p w14:paraId="6D856DDC">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）如机构还从事检验检测以外的活动，应识别潜在的利益冲突，采取措施确保这些活动不影响其检验检测的独立性、公正性。</w:t>
            </w:r>
          </w:p>
          <w:p w14:paraId="1B2AE7F6">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）机构的业务或经营范围不应包含所检验检测对象的生产、销售、研发、维修等影响公正性的内容。</w:t>
            </w:r>
            <w:r>
              <w:rPr>
                <w:rFonts w:hint="eastAsia"/>
                <w:snapToGrid w:val="0"/>
                <w:color w:val="000000"/>
                <w:sz w:val="24"/>
                <w:szCs w:val="24"/>
              </w:rPr>
              <w:br w:type="textWrapping"/>
            </w:r>
            <w:r>
              <w:rPr>
                <w:rFonts w:hint="eastAsia"/>
                <w:snapToGrid w:val="0"/>
                <w:color w:val="000000"/>
                <w:sz w:val="24"/>
                <w:szCs w:val="24"/>
              </w:rPr>
              <w:t>（</w:t>
            </w:r>
            <w:r>
              <w:rPr>
                <w:snapToGrid w:val="0"/>
                <w:color w:val="000000"/>
                <w:sz w:val="24"/>
                <w:szCs w:val="24"/>
              </w:rPr>
              <w:t>4</w:t>
            </w:r>
            <w:r>
              <w:rPr>
                <w:rFonts w:hint="eastAsia"/>
                <w:snapToGrid w:val="0"/>
                <w:color w:val="000000"/>
                <w:sz w:val="24"/>
                <w:szCs w:val="24"/>
              </w:rPr>
              <w:t>）机构的质量手册和程序文件中应有确保检验检测公正性、独立性以及数据、结果和报告真实、客观、准确、完整的规定。</w:t>
            </w:r>
          </w:p>
          <w:p w14:paraId="0E0B024B">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5</w:t>
            </w:r>
            <w:r>
              <w:rPr>
                <w:rFonts w:hint="eastAsia"/>
                <w:snapToGrid w:val="0"/>
                <w:color w:val="000000"/>
                <w:sz w:val="24"/>
                <w:szCs w:val="24"/>
              </w:rPr>
              <w:t>）机构是否存在接受影响公正性的资助或者存在影响公正性的行为，如利用“国家中心”牌子或产品质量监督抽查等政策性业务进行有违公正性的不正当市场竞争情况。</w:t>
            </w:r>
          </w:p>
          <w:p w14:paraId="06449FD2">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6</w:t>
            </w:r>
            <w:r>
              <w:rPr>
                <w:rFonts w:hint="eastAsia"/>
                <w:snapToGrid w:val="0"/>
                <w:color w:val="000000"/>
                <w:sz w:val="24"/>
                <w:szCs w:val="24"/>
              </w:rPr>
              <w:t>）机构是否在其官方网站或者以其他公开方式对其遵守法定要求、独立公正从业、履行社会责任、严守诚实信用等情况进行自我声明。</w:t>
            </w:r>
          </w:p>
        </w:tc>
        <w:tc>
          <w:tcPr>
            <w:tcW w:w="2896" w:type="dxa"/>
            <w:gridSpan w:val="2"/>
            <w:noWrap w:val="0"/>
            <w:vAlign w:val="center"/>
          </w:tcPr>
          <w:p w14:paraId="4118C2DE">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54CB8325">
            <w:pPr>
              <w:snapToGrid w:val="0"/>
              <w:spacing w:line="240" w:lineRule="atLeast"/>
              <w:jc w:val="center"/>
              <w:rPr>
                <w:snapToGrid w:val="0"/>
                <w:color w:val="000000"/>
                <w:sz w:val="24"/>
                <w:szCs w:val="24"/>
              </w:rPr>
            </w:pPr>
          </w:p>
        </w:tc>
      </w:tr>
      <w:tr w14:paraId="0F21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921" w:hRule="atLeast"/>
          <w:jc w:val="center"/>
        </w:trPr>
        <w:tc>
          <w:tcPr>
            <w:tcW w:w="914" w:type="dxa"/>
            <w:noWrap/>
            <w:vAlign w:val="center"/>
          </w:tcPr>
          <w:p w14:paraId="4EB97757">
            <w:pPr>
              <w:snapToGrid w:val="0"/>
              <w:spacing w:line="240" w:lineRule="atLeast"/>
              <w:jc w:val="center"/>
              <w:rPr>
                <w:snapToGrid w:val="0"/>
                <w:color w:val="000000"/>
                <w:sz w:val="24"/>
                <w:szCs w:val="24"/>
              </w:rPr>
            </w:pPr>
            <w:r>
              <w:rPr>
                <w:snapToGrid w:val="0"/>
                <w:color w:val="000000"/>
                <w:sz w:val="24"/>
                <w:szCs w:val="24"/>
              </w:rPr>
              <w:t>4</w:t>
            </w:r>
          </w:p>
        </w:tc>
        <w:tc>
          <w:tcPr>
            <w:tcW w:w="2714" w:type="dxa"/>
            <w:gridSpan w:val="2"/>
            <w:noWrap/>
            <w:vAlign w:val="center"/>
          </w:tcPr>
          <w:p w14:paraId="68635516">
            <w:pPr>
              <w:snapToGrid w:val="0"/>
              <w:spacing w:line="240" w:lineRule="atLeast"/>
              <w:rPr>
                <w:snapToGrid w:val="0"/>
                <w:color w:val="000000"/>
                <w:sz w:val="24"/>
                <w:szCs w:val="24"/>
              </w:rPr>
            </w:pPr>
            <w:r>
              <w:rPr>
                <w:rFonts w:hint="eastAsia"/>
                <w:snapToGrid w:val="0"/>
                <w:color w:val="000000"/>
                <w:sz w:val="24"/>
                <w:szCs w:val="24"/>
              </w:rPr>
              <w:t>机构应遵守《反垄断法》相关规定</w:t>
            </w:r>
          </w:p>
        </w:tc>
        <w:tc>
          <w:tcPr>
            <w:tcW w:w="5441" w:type="dxa"/>
            <w:gridSpan w:val="3"/>
            <w:noWrap w:val="0"/>
            <w:vAlign w:val="center"/>
          </w:tcPr>
          <w:p w14:paraId="4135BADD">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）具有竞争关系机构不得达成垄断协议。</w:t>
            </w:r>
          </w:p>
          <w:p w14:paraId="77BEE9E2">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）具有市场支配地位的机构，不得滥用市场支配地位，排除、限制竞争。</w:t>
            </w:r>
          </w:p>
          <w:p w14:paraId="25CACAB8">
            <w:pPr>
              <w:snapToGrid w:val="0"/>
              <w:spacing w:line="240" w:lineRule="atLeast"/>
              <w:rPr>
                <w:snapToGrid w:val="0"/>
                <w:color w:val="000000"/>
                <w:sz w:val="24"/>
                <w:szCs w:val="24"/>
              </w:rPr>
            </w:pPr>
            <w:r>
              <w:rPr>
                <w:snapToGrid w:val="0"/>
                <w:color w:val="000000"/>
                <w:sz w:val="24"/>
                <w:szCs w:val="24"/>
              </w:rPr>
              <w:t>（3）是否具有或者可能具有排除、限制竞争效果的经营者集中。</w:t>
            </w:r>
          </w:p>
        </w:tc>
        <w:tc>
          <w:tcPr>
            <w:tcW w:w="2896" w:type="dxa"/>
            <w:gridSpan w:val="2"/>
            <w:noWrap w:val="0"/>
            <w:vAlign w:val="center"/>
          </w:tcPr>
          <w:p w14:paraId="17CF9FF0">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690B14E6">
            <w:pPr>
              <w:snapToGrid w:val="0"/>
              <w:spacing w:line="240" w:lineRule="atLeast"/>
              <w:jc w:val="center"/>
              <w:rPr>
                <w:snapToGrid w:val="0"/>
                <w:color w:val="000000"/>
                <w:sz w:val="24"/>
                <w:szCs w:val="24"/>
              </w:rPr>
            </w:pPr>
          </w:p>
        </w:tc>
      </w:tr>
      <w:tr w14:paraId="6E8D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1119" w:hRule="atLeast"/>
          <w:jc w:val="center"/>
        </w:trPr>
        <w:tc>
          <w:tcPr>
            <w:tcW w:w="914" w:type="dxa"/>
            <w:noWrap/>
            <w:vAlign w:val="center"/>
          </w:tcPr>
          <w:p w14:paraId="336DA7D9">
            <w:pPr>
              <w:snapToGrid w:val="0"/>
              <w:spacing w:line="240" w:lineRule="atLeast"/>
              <w:jc w:val="center"/>
              <w:rPr>
                <w:snapToGrid w:val="0"/>
                <w:color w:val="000000"/>
                <w:sz w:val="24"/>
                <w:szCs w:val="24"/>
              </w:rPr>
            </w:pPr>
            <w:r>
              <w:rPr>
                <w:snapToGrid w:val="0"/>
                <w:color w:val="000000"/>
                <w:sz w:val="24"/>
                <w:szCs w:val="24"/>
              </w:rPr>
              <w:t>5</w:t>
            </w:r>
          </w:p>
        </w:tc>
        <w:tc>
          <w:tcPr>
            <w:tcW w:w="2714" w:type="dxa"/>
            <w:gridSpan w:val="2"/>
            <w:noWrap/>
            <w:vAlign w:val="center"/>
          </w:tcPr>
          <w:p w14:paraId="2278EF91">
            <w:pPr>
              <w:snapToGrid w:val="0"/>
              <w:spacing w:line="240" w:lineRule="atLeast"/>
              <w:rPr>
                <w:snapToGrid w:val="0"/>
                <w:color w:val="000000"/>
                <w:sz w:val="24"/>
                <w:szCs w:val="24"/>
              </w:rPr>
            </w:pPr>
            <w:r>
              <w:rPr>
                <w:rFonts w:hint="eastAsia"/>
                <w:snapToGrid w:val="0"/>
                <w:color w:val="000000"/>
                <w:sz w:val="24"/>
                <w:szCs w:val="24"/>
              </w:rPr>
              <w:t>机构应遵守相关保密规定</w:t>
            </w:r>
          </w:p>
        </w:tc>
        <w:tc>
          <w:tcPr>
            <w:tcW w:w="5441" w:type="dxa"/>
            <w:gridSpan w:val="3"/>
            <w:noWrap w:val="0"/>
            <w:vAlign w:val="center"/>
          </w:tcPr>
          <w:p w14:paraId="50EAAF13">
            <w:pPr>
              <w:snapToGrid w:val="0"/>
              <w:spacing w:line="240" w:lineRule="atLeast"/>
              <w:rPr>
                <w:snapToGrid w:val="0"/>
                <w:color w:val="000000"/>
                <w:sz w:val="24"/>
                <w:szCs w:val="24"/>
              </w:rPr>
            </w:pPr>
            <w:r>
              <w:rPr>
                <w:rFonts w:hint="eastAsia"/>
                <w:snapToGrid w:val="0"/>
                <w:color w:val="000000"/>
                <w:sz w:val="24"/>
                <w:szCs w:val="24"/>
              </w:rPr>
              <w:t>机构应在其质量手册或程序文件中规定保密措施，保证检验检测活动中获得的国家秘密、商业秘密不外泄（法律法规有规定的除外）。</w:t>
            </w:r>
          </w:p>
        </w:tc>
        <w:tc>
          <w:tcPr>
            <w:tcW w:w="2896" w:type="dxa"/>
            <w:gridSpan w:val="2"/>
            <w:noWrap w:val="0"/>
            <w:vAlign w:val="center"/>
          </w:tcPr>
          <w:p w14:paraId="059164EE">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4D7E9807">
            <w:pPr>
              <w:snapToGrid w:val="0"/>
              <w:spacing w:line="240" w:lineRule="atLeast"/>
              <w:jc w:val="center"/>
              <w:rPr>
                <w:snapToGrid w:val="0"/>
                <w:color w:val="000000"/>
                <w:sz w:val="24"/>
                <w:szCs w:val="24"/>
              </w:rPr>
            </w:pPr>
          </w:p>
        </w:tc>
      </w:tr>
      <w:tr w14:paraId="2F74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699" w:hRule="atLeast"/>
          <w:jc w:val="center"/>
        </w:trPr>
        <w:tc>
          <w:tcPr>
            <w:tcW w:w="914" w:type="dxa"/>
            <w:noWrap/>
            <w:vAlign w:val="center"/>
          </w:tcPr>
          <w:p w14:paraId="41825262">
            <w:pPr>
              <w:snapToGrid w:val="0"/>
              <w:spacing w:line="240" w:lineRule="atLeast"/>
              <w:jc w:val="center"/>
              <w:rPr>
                <w:snapToGrid w:val="0"/>
                <w:color w:val="000000"/>
                <w:sz w:val="24"/>
                <w:szCs w:val="24"/>
              </w:rPr>
            </w:pPr>
            <w:r>
              <w:rPr>
                <w:snapToGrid w:val="0"/>
                <w:color w:val="000000"/>
                <w:sz w:val="24"/>
                <w:szCs w:val="24"/>
              </w:rPr>
              <w:t>6</w:t>
            </w:r>
          </w:p>
        </w:tc>
        <w:tc>
          <w:tcPr>
            <w:tcW w:w="2714" w:type="dxa"/>
            <w:gridSpan w:val="2"/>
            <w:noWrap/>
            <w:vAlign w:val="center"/>
          </w:tcPr>
          <w:p w14:paraId="2E080C27">
            <w:pPr>
              <w:snapToGrid w:val="0"/>
              <w:spacing w:line="240" w:lineRule="atLeast"/>
              <w:rPr>
                <w:snapToGrid w:val="0"/>
                <w:color w:val="000000"/>
                <w:sz w:val="24"/>
                <w:szCs w:val="24"/>
              </w:rPr>
            </w:pPr>
            <w:r>
              <w:rPr>
                <w:rFonts w:hint="eastAsia"/>
                <w:snapToGrid w:val="0"/>
                <w:color w:val="000000"/>
                <w:sz w:val="24"/>
                <w:szCs w:val="24"/>
              </w:rPr>
              <w:t>在资质认定证书的能力范围内从事检验检测活动</w:t>
            </w:r>
          </w:p>
        </w:tc>
        <w:tc>
          <w:tcPr>
            <w:tcW w:w="5441" w:type="dxa"/>
            <w:gridSpan w:val="3"/>
            <w:noWrap w:val="0"/>
            <w:vAlign w:val="center"/>
          </w:tcPr>
          <w:p w14:paraId="2DE1CA38">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）机构应当按照资质认定能力附表范围内的检验检测标准、方法和项目参数等开展检验检测工作。检查是否存在超出资质认定证书规定能力范围出具检验检测报告的情况。</w:t>
            </w:r>
          </w:p>
          <w:p w14:paraId="6243A5E5">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）资质认定证书被撤销、注销或吊销，不得继续为社会出具具有证明作用的数据和结果。</w:t>
            </w:r>
          </w:p>
          <w:p w14:paraId="180C7680">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）机构应在资质认定证书授权时间范围内开展检验检测工作。</w:t>
            </w:r>
          </w:p>
        </w:tc>
        <w:tc>
          <w:tcPr>
            <w:tcW w:w="2896" w:type="dxa"/>
            <w:gridSpan w:val="2"/>
            <w:noWrap w:val="0"/>
            <w:vAlign w:val="center"/>
          </w:tcPr>
          <w:p w14:paraId="111A84EC">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2A7FFFAA">
            <w:pPr>
              <w:snapToGrid w:val="0"/>
              <w:spacing w:line="240" w:lineRule="atLeast"/>
              <w:jc w:val="center"/>
              <w:rPr>
                <w:snapToGrid w:val="0"/>
                <w:color w:val="000000"/>
                <w:sz w:val="24"/>
                <w:szCs w:val="24"/>
              </w:rPr>
            </w:pPr>
          </w:p>
        </w:tc>
      </w:tr>
      <w:tr w14:paraId="0C1D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699" w:hRule="atLeast"/>
          <w:jc w:val="center"/>
        </w:trPr>
        <w:tc>
          <w:tcPr>
            <w:tcW w:w="914" w:type="dxa"/>
            <w:noWrap/>
            <w:vAlign w:val="center"/>
          </w:tcPr>
          <w:p w14:paraId="5B3265AB">
            <w:pPr>
              <w:snapToGrid w:val="0"/>
              <w:spacing w:line="240" w:lineRule="atLeast"/>
              <w:jc w:val="center"/>
              <w:rPr>
                <w:snapToGrid w:val="0"/>
                <w:color w:val="000000"/>
                <w:sz w:val="24"/>
                <w:szCs w:val="24"/>
              </w:rPr>
            </w:pPr>
            <w:r>
              <w:rPr>
                <w:snapToGrid w:val="0"/>
                <w:color w:val="000000"/>
                <w:sz w:val="24"/>
                <w:szCs w:val="24"/>
              </w:rPr>
              <w:t>7</w:t>
            </w:r>
          </w:p>
        </w:tc>
        <w:tc>
          <w:tcPr>
            <w:tcW w:w="2714" w:type="dxa"/>
            <w:gridSpan w:val="2"/>
            <w:noWrap/>
            <w:vAlign w:val="center"/>
          </w:tcPr>
          <w:p w14:paraId="2239A8BC">
            <w:pPr>
              <w:snapToGrid w:val="0"/>
              <w:spacing w:line="240" w:lineRule="atLeast"/>
              <w:rPr>
                <w:snapToGrid w:val="0"/>
                <w:color w:val="000000"/>
                <w:sz w:val="24"/>
                <w:szCs w:val="24"/>
              </w:rPr>
            </w:pPr>
            <w:r>
              <w:rPr>
                <w:rFonts w:hint="eastAsia"/>
                <w:snapToGrid w:val="0"/>
                <w:color w:val="000000"/>
                <w:sz w:val="24"/>
                <w:szCs w:val="24"/>
              </w:rPr>
              <w:t>检验检测过程规范要求</w:t>
            </w:r>
          </w:p>
        </w:tc>
        <w:tc>
          <w:tcPr>
            <w:tcW w:w="5441" w:type="dxa"/>
            <w:gridSpan w:val="3"/>
            <w:noWrap w:val="0"/>
            <w:vAlign w:val="center"/>
          </w:tcPr>
          <w:p w14:paraId="01BD65B8">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）机构及其人员是否违反国家有关强制性规定的样品管理、仪器设备管理与使用、检验检测规程或者方法、数据传输与保存等要求进行检验检测。</w:t>
            </w:r>
          </w:p>
          <w:p w14:paraId="2846CEDA">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）对不涉及国家有关强制性规定的检验检测规程或者方法，检查是否与委托人作出约定。</w:t>
            </w:r>
          </w:p>
        </w:tc>
        <w:tc>
          <w:tcPr>
            <w:tcW w:w="2896" w:type="dxa"/>
            <w:gridSpan w:val="2"/>
            <w:noWrap w:val="0"/>
            <w:vAlign w:val="center"/>
          </w:tcPr>
          <w:p w14:paraId="4EDA2331">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30EC8408">
            <w:pPr>
              <w:snapToGrid w:val="0"/>
              <w:spacing w:line="240" w:lineRule="atLeast"/>
              <w:jc w:val="center"/>
              <w:rPr>
                <w:snapToGrid w:val="0"/>
                <w:color w:val="000000"/>
                <w:sz w:val="24"/>
                <w:szCs w:val="24"/>
              </w:rPr>
            </w:pPr>
          </w:p>
        </w:tc>
      </w:tr>
      <w:tr w14:paraId="6436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274" w:hRule="atLeast"/>
          <w:jc w:val="center"/>
        </w:trPr>
        <w:tc>
          <w:tcPr>
            <w:tcW w:w="914" w:type="dxa"/>
            <w:noWrap/>
            <w:vAlign w:val="center"/>
          </w:tcPr>
          <w:p w14:paraId="7C90C397">
            <w:pPr>
              <w:snapToGrid w:val="0"/>
              <w:spacing w:line="240" w:lineRule="atLeast"/>
              <w:jc w:val="center"/>
              <w:rPr>
                <w:snapToGrid w:val="0"/>
                <w:color w:val="000000"/>
                <w:sz w:val="24"/>
                <w:szCs w:val="24"/>
              </w:rPr>
            </w:pPr>
            <w:r>
              <w:rPr>
                <w:snapToGrid w:val="0"/>
                <w:color w:val="000000"/>
                <w:sz w:val="24"/>
                <w:szCs w:val="24"/>
              </w:rPr>
              <w:t>8</w:t>
            </w:r>
          </w:p>
        </w:tc>
        <w:tc>
          <w:tcPr>
            <w:tcW w:w="2714" w:type="dxa"/>
            <w:gridSpan w:val="2"/>
            <w:noWrap/>
            <w:vAlign w:val="center"/>
          </w:tcPr>
          <w:p w14:paraId="438F5CF1">
            <w:pPr>
              <w:snapToGrid w:val="0"/>
              <w:spacing w:line="240" w:lineRule="atLeast"/>
              <w:rPr>
                <w:snapToGrid w:val="0"/>
                <w:color w:val="000000"/>
                <w:sz w:val="24"/>
                <w:szCs w:val="24"/>
              </w:rPr>
            </w:pPr>
            <w:r>
              <w:rPr>
                <w:rFonts w:hint="eastAsia"/>
                <w:snapToGrid w:val="0"/>
                <w:color w:val="000000"/>
                <w:sz w:val="24"/>
                <w:szCs w:val="24"/>
              </w:rPr>
              <w:t>人员管理要求</w:t>
            </w:r>
          </w:p>
        </w:tc>
        <w:tc>
          <w:tcPr>
            <w:tcW w:w="5441" w:type="dxa"/>
            <w:gridSpan w:val="3"/>
            <w:noWrap w:val="0"/>
            <w:vAlign w:val="center"/>
          </w:tcPr>
          <w:p w14:paraId="2EBB81AA">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（1）检验检测人员不得同时在两家及以上检验检测机构从业。</w:t>
            </w:r>
          </w:p>
          <w:p w14:paraId="4B13BB21">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）检验检测人员具备必要的技能、知识和培训经历，满足相关岗位要求；授权签字人具有满足规定要求的技术能力。法律法规对检验检测从业人员有执业资格规定或者禁止从事检验检测活动规定的，依照其规定。</w:t>
            </w:r>
          </w:p>
          <w:p w14:paraId="54B92452">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）非授权签字人不得签发报告，授权签字人在其授权领域范围内签发报告。</w:t>
            </w:r>
          </w:p>
          <w:p w14:paraId="43DBFE33">
            <w:pPr>
              <w:snapToGrid w:val="0"/>
              <w:spacing w:line="240" w:lineRule="atLeast"/>
              <w:rPr>
                <w:snapToGrid w:val="0"/>
                <w:color w:val="000000"/>
                <w:sz w:val="24"/>
                <w:szCs w:val="24"/>
                <w:highlight w:val="none"/>
              </w:rPr>
            </w:pPr>
            <w:r>
              <w:rPr>
                <w:rFonts w:hint="eastAsia"/>
                <w:snapToGrid w:val="0"/>
                <w:color w:val="000000"/>
                <w:sz w:val="24"/>
                <w:szCs w:val="24"/>
                <w:highlight w:val="none"/>
              </w:rPr>
              <w:t>（4）检验检测机构不得聘用法律、行政法规禁止从事检验检测活动的人员。</w:t>
            </w:r>
          </w:p>
          <w:p w14:paraId="2CD1126D">
            <w:pPr>
              <w:snapToGrid w:val="0"/>
              <w:spacing w:line="240" w:lineRule="atLeast"/>
              <w:rPr>
                <w:rFonts w:hint="eastAsia"/>
                <w:snapToGrid w:val="0"/>
                <w:color w:val="000000"/>
              </w:rPr>
            </w:pPr>
            <w:r>
              <w:rPr>
                <w:rFonts w:hint="eastAsia"/>
                <w:snapToGrid w:val="0"/>
                <w:color w:val="000000"/>
                <w:sz w:val="24"/>
                <w:szCs w:val="24"/>
                <w:highlight w:val="none"/>
              </w:rPr>
              <w:t>（5）检验检测机构应当与从业人员建立合法的劳动或者聘用关系，并以任职文件、授权文件、岗位责任书等形式明确其岗位职责、授权范围。</w:t>
            </w:r>
          </w:p>
        </w:tc>
        <w:tc>
          <w:tcPr>
            <w:tcW w:w="2896" w:type="dxa"/>
            <w:gridSpan w:val="2"/>
            <w:noWrap w:val="0"/>
            <w:vAlign w:val="center"/>
          </w:tcPr>
          <w:p w14:paraId="165FAFF1">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1ACF3AC7">
            <w:pPr>
              <w:snapToGrid w:val="0"/>
              <w:spacing w:line="240" w:lineRule="atLeast"/>
              <w:jc w:val="center"/>
              <w:rPr>
                <w:snapToGrid w:val="0"/>
                <w:color w:val="000000"/>
                <w:sz w:val="24"/>
                <w:szCs w:val="24"/>
              </w:rPr>
            </w:pPr>
          </w:p>
        </w:tc>
      </w:tr>
      <w:tr w14:paraId="7D03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1620" w:hRule="atLeast"/>
          <w:jc w:val="center"/>
        </w:trPr>
        <w:tc>
          <w:tcPr>
            <w:tcW w:w="914" w:type="dxa"/>
            <w:noWrap/>
            <w:vAlign w:val="center"/>
          </w:tcPr>
          <w:p w14:paraId="150F3C22">
            <w:pPr>
              <w:snapToGrid w:val="0"/>
              <w:spacing w:line="240" w:lineRule="atLeast"/>
              <w:jc w:val="center"/>
              <w:rPr>
                <w:snapToGrid w:val="0"/>
                <w:color w:val="000000"/>
                <w:sz w:val="24"/>
                <w:szCs w:val="24"/>
              </w:rPr>
            </w:pPr>
            <w:r>
              <w:rPr>
                <w:snapToGrid w:val="0"/>
                <w:color w:val="000000"/>
                <w:sz w:val="24"/>
                <w:szCs w:val="24"/>
              </w:rPr>
              <w:t>9</w:t>
            </w:r>
          </w:p>
        </w:tc>
        <w:tc>
          <w:tcPr>
            <w:tcW w:w="2714" w:type="dxa"/>
            <w:gridSpan w:val="2"/>
            <w:noWrap/>
            <w:vAlign w:val="center"/>
          </w:tcPr>
          <w:p w14:paraId="301D9931">
            <w:pPr>
              <w:snapToGrid w:val="0"/>
              <w:spacing w:line="240" w:lineRule="atLeast"/>
              <w:rPr>
                <w:snapToGrid w:val="0"/>
                <w:color w:val="000000"/>
                <w:sz w:val="24"/>
                <w:szCs w:val="24"/>
              </w:rPr>
            </w:pPr>
            <w:r>
              <w:rPr>
                <w:rFonts w:hint="eastAsia"/>
                <w:snapToGrid w:val="0"/>
                <w:color w:val="000000"/>
                <w:sz w:val="24"/>
                <w:szCs w:val="24"/>
              </w:rPr>
              <w:t>数据和信息管理要求</w:t>
            </w:r>
          </w:p>
        </w:tc>
        <w:tc>
          <w:tcPr>
            <w:tcW w:w="5441" w:type="dxa"/>
            <w:gridSpan w:val="3"/>
            <w:noWrap w:val="0"/>
            <w:vAlign w:val="center"/>
          </w:tcPr>
          <w:p w14:paraId="4CD27EE7">
            <w:pPr>
              <w:snapToGrid w:val="0"/>
              <w:spacing w:line="240" w:lineRule="atLeast"/>
              <w:rPr>
                <w:snapToGrid w:val="0"/>
                <w:color w:val="000000"/>
                <w:sz w:val="24"/>
                <w:szCs w:val="24"/>
              </w:rPr>
            </w:pPr>
            <w:r>
              <w:rPr>
                <w:rFonts w:hint="eastAsia"/>
                <w:snapToGrid w:val="0"/>
                <w:color w:val="000000"/>
                <w:sz w:val="24"/>
                <w:szCs w:val="24"/>
              </w:rPr>
              <w:t>机构应当对检验检测活动的原始记录和报告归档留存，保证其具有可追溯性。原始记录和报告的保存期限应不少于</w:t>
            </w:r>
            <w:r>
              <w:rPr>
                <w:snapToGrid w:val="0"/>
                <w:color w:val="000000"/>
                <w:sz w:val="24"/>
                <w:szCs w:val="24"/>
              </w:rPr>
              <w:t>6</w:t>
            </w:r>
            <w:r>
              <w:rPr>
                <w:rFonts w:hint="eastAsia"/>
                <w:snapToGrid w:val="0"/>
                <w:color w:val="000000"/>
                <w:sz w:val="24"/>
                <w:szCs w:val="24"/>
              </w:rPr>
              <w:t>年。法律、法规有专门规定的，依照其规定。</w:t>
            </w:r>
          </w:p>
        </w:tc>
        <w:tc>
          <w:tcPr>
            <w:tcW w:w="2896" w:type="dxa"/>
            <w:gridSpan w:val="2"/>
            <w:noWrap w:val="0"/>
            <w:vAlign w:val="center"/>
          </w:tcPr>
          <w:p w14:paraId="4B258EF0">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4A6F6EEB">
            <w:pPr>
              <w:snapToGrid w:val="0"/>
              <w:spacing w:line="240" w:lineRule="atLeast"/>
              <w:jc w:val="center"/>
              <w:rPr>
                <w:snapToGrid w:val="0"/>
                <w:color w:val="000000"/>
                <w:sz w:val="24"/>
                <w:szCs w:val="24"/>
              </w:rPr>
            </w:pPr>
          </w:p>
        </w:tc>
      </w:tr>
      <w:tr w14:paraId="42F7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841" w:hRule="atLeast"/>
          <w:jc w:val="center"/>
        </w:trPr>
        <w:tc>
          <w:tcPr>
            <w:tcW w:w="914" w:type="dxa"/>
            <w:noWrap/>
            <w:vAlign w:val="center"/>
          </w:tcPr>
          <w:p w14:paraId="23CB2C3C">
            <w:pPr>
              <w:snapToGrid w:val="0"/>
              <w:spacing w:line="240" w:lineRule="atLeast"/>
              <w:jc w:val="center"/>
              <w:rPr>
                <w:snapToGrid w:val="0"/>
                <w:color w:val="000000"/>
                <w:sz w:val="24"/>
                <w:szCs w:val="24"/>
              </w:rPr>
            </w:pPr>
            <w:r>
              <w:rPr>
                <w:snapToGrid w:val="0"/>
                <w:color w:val="000000"/>
                <w:sz w:val="24"/>
                <w:szCs w:val="24"/>
              </w:rPr>
              <w:t>10</w:t>
            </w:r>
          </w:p>
        </w:tc>
        <w:tc>
          <w:tcPr>
            <w:tcW w:w="2714" w:type="dxa"/>
            <w:gridSpan w:val="2"/>
            <w:noWrap/>
            <w:vAlign w:val="center"/>
          </w:tcPr>
          <w:p w14:paraId="4D705018">
            <w:pPr>
              <w:snapToGrid w:val="0"/>
              <w:spacing w:line="240" w:lineRule="atLeast"/>
              <w:rPr>
                <w:snapToGrid w:val="0"/>
                <w:color w:val="000000"/>
                <w:sz w:val="24"/>
                <w:szCs w:val="24"/>
              </w:rPr>
            </w:pPr>
            <w:r>
              <w:rPr>
                <w:rFonts w:hint="eastAsia"/>
                <w:snapToGrid w:val="0"/>
                <w:color w:val="000000"/>
                <w:sz w:val="24"/>
                <w:szCs w:val="24"/>
              </w:rPr>
              <w:t>持续符合资质认定条件和技术能力的要求</w:t>
            </w:r>
          </w:p>
        </w:tc>
        <w:tc>
          <w:tcPr>
            <w:tcW w:w="5441" w:type="dxa"/>
            <w:gridSpan w:val="3"/>
            <w:noWrap w:val="0"/>
            <w:vAlign w:val="center"/>
          </w:tcPr>
          <w:p w14:paraId="53139E54">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）现有环境、设施满足通过资质认定的检验检测项目需要。</w:t>
            </w:r>
          </w:p>
          <w:p w14:paraId="06748D6C">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）现有仪器设备满足通过资质认定的检验检测项目需要。</w:t>
            </w:r>
          </w:p>
          <w:p w14:paraId="6CAC109F">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）现有人员能够满足检验检测需要。</w:t>
            </w:r>
          </w:p>
          <w:p w14:paraId="26527505">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4</w:t>
            </w:r>
            <w:r>
              <w:rPr>
                <w:rFonts w:hint="eastAsia"/>
                <w:snapToGrid w:val="0"/>
                <w:color w:val="000000"/>
                <w:sz w:val="24"/>
                <w:szCs w:val="24"/>
              </w:rPr>
              <w:t>）质量管理体系有效运行，各项管理文件制定合理，员工对质量管理相关要求认同、熟悉并有效运用。</w:t>
            </w:r>
          </w:p>
          <w:p w14:paraId="6063134F">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5</w:t>
            </w:r>
            <w:r>
              <w:rPr>
                <w:rFonts w:hint="eastAsia"/>
                <w:snapToGrid w:val="0"/>
                <w:color w:val="000000"/>
                <w:sz w:val="24"/>
                <w:szCs w:val="24"/>
              </w:rPr>
              <w:t>）在环境、设施、设备及人员情况发生变化，不能持续符合资质认定要求时，不存在擅自对社会出具具有证明作用数据和结果的行为。</w:t>
            </w:r>
          </w:p>
        </w:tc>
        <w:tc>
          <w:tcPr>
            <w:tcW w:w="2896" w:type="dxa"/>
            <w:gridSpan w:val="2"/>
            <w:noWrap w:val="0"/>
            <w:vAlign w:val="center"/>
          </w:tcPr>
          <w:p w14:paraId="3E7ECEC0">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5BE8C5D7">
            <w:pPr>
              <w:snapToGrid w:val="0"/>
              <w:spacing w:line="240" w:lineRule="atLeast"/>
              <w:jc w:val="center"/>
              <w:rPr>
                <w:snapToGrid w:val="0"/>
                <w:color w:val="000000"/>
                <w:sz w:val="24"/>
                <w:szCs w:val="24"/>
              </w:rPr>
            </w:pPr>
          </w:p>
        </w:tc>
      </w:tr>
      <w:tr w14:paraId="1D10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914" w:type="dxa"/>
            <w:noWrap/>
            <w:vAlign w:val="center"/>
          </w:tcPr>
          <w:p w14:paraId="0B66C2D7">
            <w:pPr>
              <w:snapToGrid w:val="0"/>
              <w:spacing w:line="240" w:lineRule="atLeast"/>
              <w:jc w:val="center"/>
              <w:rPr>
                <w:snapToGrid w:val="0"/>
                <w:color w:val="000000"/>
                <w:sz w:val="24"/>
                <w:szCs w:val="24"/>
              </w:rPr>
            </w:pPr>
            <w:r>
              <w:rPr>
                <w:snapToGrid w:val="0"/>
                <w:color w:val="000000"/>
                <w:sz w:val="24"/>
                <w:szCs w:val="24"/>
              </w:rPr>
              <w:t>11</w:t>
            </w:r>
          </w:p>
        </w:tc>
        <w:tc>
          <w:tcPr>
            <w:tcW w:w="2714" w:type="dxa"/>
            <w:gridSpan w:val="2"/>
            <w:noWrap/>
            <w:vAlign w:val="center"/>
          </w:tcPr>
          <w:p w14:paraId="09620D66">
            <w:pPr>
              <w:snapToGrid w:val="0"/>
              <w:spacing w:line="240" w:lineRule="atLeast"/>
              <w:rPr>
                <w:snapToGrid w:val="0"/>
                <w:color w:val="000000"/>
                <w:sz w:val="24"/>
                <w:szCs w:val="24"/>
              </w:rPr>
            </w:pPr>
            <w:r>
              <w:rPr>
                <w:rFonts w:hint="eastAsia"/>
                <w:snapToGrid w:val="0"/>
                <w:color w:val="000000"/>
                <w:sz w:val="24"/>
                <w:szCs w:val="24"/>
              </w:rPr>
              <w:t>规范出具检验检测报告</w:t>
            </w:r>
          </w:p>
        </w:tc>
        <w:tc>
          <w:tcPr>
            <w:tcW w:w="5441" w:type="dxa"/>
            <w:gridSpan w:val="3"/>
            <w:noWrap w:val="0"/>
            <w:vAlign w:val="center"/>
          </w:tcPr>
          <w:p w14:paraId="78C93F9D">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）按照相关标准和程序实施检验检测活动。</w:t>
            </w:r>
          </w:p>
          <w:p w14:paraId="4DBACD3A">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）原始记录与检验检测报告具有可溯源性。</w:t>
            </w:r>
          </w:p>
          <w:p w14:paraId="71992044">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）检验检测报告用语规范，依据明确；符合资质认定相关要求，符合合同约定要求。</w:t>
            </w:r>
          </w:p>
        </w:tc>
        <w:tc>
          <w:tcPr>
            <w:tcW w:w="2896" w:type="dxa"/>
            <w:gridSpan w:val="2"/>
            <w:noWrap w:val="0"/>
            <w:vAlign w:val="center"/>
          </w:tcPr>
          <w:p w14:paraId="083D87B0">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72A01747">
            <w:pPr>
              <w:snapToGrid w:val="0"/>
              <w:spacing w:line="240" w:lineRule="atLeast"/>
              <w:jc w:val="center"/>
              <w:rPr>
                <w:snapToGrid w:val="0"/>
                <w:color w:val="000000"/>
                <w:sz w:val="24"/>
                <w:szCs w:val="24"/>
              </w:rPr>
            </w:pPr>
          </w:p>
        </w:tc>
      </w:tr>
      <w:tr w14:paraId="3B72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274" w:hRule="atLeast"/>
          <w:jc w:val="center"/>
        </w:trPr>
        <w:tc>
          <w:tcPr>
            <w:tcW w:w="914" w:type="dxa"/>
            <w:noWrap/>
            <w:vAlign w:val="center"/>
          </w:tcPr>
          <w:p w14:paraId="4955729D">
            <w:pPr>
              <w:snapToGrid w:val="0"/>
              <w:spacing w:line="240" w:lineRule="atLeast"/>
              <w:jc w:val="center"/>
              <w:rPr>
                <w:snapToGrid w:val="0"/>
                <w:color w:val="000000"/>
                <w:sz w:val="24"/>
                <w:szCs w:val="24"/>
              </w:rPr>
            </w:pPr>
            <w:r>
              <w:rPr>
                <w:snapToGrid w:val="0"/>
                <w:color w:val="000000"/>
                <w:sz w:val="24"/>
                <w:szCs w:val="24"/>
              </w:rPr>
              <w:t>12</w:t>
            </w:r>
          </w:p>
        </w:tc>
        <w:tc>
          <w:tcPr>
            <w:tcW w:w="2714" w:type="dxa"/>
            <w:gridSpan w:val="2"/>
            <w:noWrap/>
            <w:vAlign w:val="center"/>
          </w:tcPr>
          <w:p w14:paraId="7567496F">
            <w:pPr>
              <w:snapToGrid w:val="0"/>
              <w:spacing w:line="240" w:lineRule="atLeast"/>
              <w:rPr>
                <w:snapToGrid w:val="0"/>
                <w:color w:val="000000"/>
                <w:sz w:val="24"/>
                <w:szCs w:val="24"/>
              </w:rPr>
            </w:pPr>
            <w:r>
              <w:rPr>
                <w:rFonts w:hint="eastAsia"/>
                <w:snapToGrid w:val="0"/>
                <w:color w:val="000000"/>
                <w:sz w:val="24"/>
                <w:szCs w:val="24"/>
              </w:rPr>
              <w:t>正确使用资质认定标志、检验检测机构公章或检验检测专用章</w:t>
            </w:r>
          </w:p>
        </w:tc>
        <w:tc>
          <w:tcPr>
            <w:tcW w:w="5441" w:type="dxa"/>
            <w:gridSpan w:val="3"/>
            <w:noWrap w:val="0"/>
            <w:vAlign w:val="center"/>
          </w:tcPr>
          <w:p w14:paraId="4E5BDCB7">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）机构应制定资质认定标志、检验检测机构公章或检验检测专用章的使用规定。</w:t>
            </w:r>
          </w:p>
          <w:p w14:paraId="31579FC5">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）在检验检测报告中正确使用资质认定标志以及加盖检验检测机构公章或检验检测专用章。</w:t>
            </w:r>
          </w:p>
          <w:p w14:paraId="58401AB7">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）不转让、出租、出借资质认定证书和标志；不伪造、变造、冒用资质认定证书和标志；不使用已失效、撤销、注销的资质认定证书和标志。</w:t>
            </w:r>
          </w:p>
          <w:p w14:paraId="2E746FF5">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4</w:t>
            </w:r>
            <w:r>
              <w:rPr>
                <w:rFonts w:hint="eastAsia"/>
                <w:snapToGrid w:val="0"/>
                <w:color w:val="000000"/>
                <w:sz w:val="24"/>
                <w:szCs w:val="24"/>
              </w:rPr>
              <w:t>）不存在其他错误使用资质认定标志的行为。</w:t>
            </w:r>
          </w:p>
        </w:tc>
        <w:tc>
          <w:tcPr>
            <w:tcW w:w="2896" w:type="dxa"/>
            <w:gridSpan w:val="2"/>
            <w:noWrap w:val="0"/>
            <w:vAlign w:val="center"/>
          </w:tcPr>
          <w:p w14:paraId="7015E32C">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05AEF075">
            <w:pPr>
              <w:snapToGrid w:val="0"/>
              <w:spacing w:line="240" w:lineRule="atLeast"/>
              <w:jc w:val="center"/>
              <w:rPr>
                <w:snapToGrid w:val="0"/>
                <w:color w:val="000000"/>
                <w:sz w:val="24"/>
                <w:szCs w:val="24"/>
              </w:rPr>
            </w:pPr>
          </w:p>
        </w:tc>
      </w:tr>
      <w:tr w14:paraId="379E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274" w:hRule="atLeast"/>
          <w:jc w:val="center"/>
        </w:trPr>
        <w:tc>
          <w:tcPr>
            <w:tcW w:w="914" w:type="dxa"/>
            <w:noWrap/>
            <w:vAlign w:val="center"/>
          </w:tcPr>
          <w:p w14:paraId="350F1582">
            <w:pPr>
              <w:snapToGrid w:val="0"/>
              <w:spacing w:line="240" w:lineRule="atLeast"/>
              <w:jc w:val="center"/>
              <w:rPr>
                <w:snapToGrid w:val="0"/>
                <w:color w:val="000000"/>
                <w:sz w:val="24"/>
                <w:szCs w:val="24"/>
              </w:rPr>
            </w:pPr>
            <w:r>
              <w:rPr>
                <w:snapToGrid w:val="0"/>
                <w:color w:val="000000"/>
                <w:sz w:val="24"/>
                <w:szCs w:val="24"/>
              </w:rPr>
              <w:t>13</w:t>
            </w:r>
          </w:p>
        </w:tc>
        <w:tc>
          <w:tcPr>
            <w:tcW w:w="2714" w:type="dxa"/>
            <w:gridSpan w:val="2"/>
            <w:noWrap/>
            <w:vAlign w:val="center"/>
          </w:tcPr>
          <w:p w14:paraId="391DC418">
            <w:pPr>
              <w:snapToGrid w:val="0"/>
              <w:spacing w:line="240" w:lineRule="atLeast"/>
              <w:rPr>
                <w:snapToGrid w:val="0"/>
                <w:color w:val="000000"/>
                <w:sz w:val="24"/>
                <w:szCs w:val="24"/>
              </w:rPr>
            </w:pPr>
            <w:r>
              <w:rPr>
                <w:rFonts w:hint="eastAsia"/>
                <w:snapToGrid w:val="0"/>
                <w:color w:val="000000"/>
                <w:sz w:val="24"/>
                <w:szCs w:val="24"/>
              </w:rPr>
              <w:t>不得出具不实检验检测数据、结果和报告的要求</w:t>
            </w:r>
          </w:p>
        </w:tc>
        <w:tc>
          <w:tcPr>
            <w:tcW w:w="5441" w:type="dxa"/>
            <w:gridSpan w:val="3"/>
            <w:noWrap w:val="0"/>
            <w:vAlign w:val="center"/>
          </w:tcPr>
          <w:p w14:paraId="263E56BB">
            <w:pPr>
              <w:snapToGrid w:val="0"/>
              <w:spacing w:line="240" w:lineRule="atLeast"/>
              <w:rPr>
                <w:snapToGrid w:val="0"/>
                <w:color w:val="000000"/>
                <w:sz w:val="24"/>
                <w:szCs w:val="24"/>
              </w:rPr>
            </w:pPr>
            <w:r>
              <w:rPr>
                <w:rFonts w:hint="eastAsia"/>
                <w:snapToGrid w:val="0"/>
                <w:color w:val="000000"/>
                <w:sz w:val="24"/>
                <w:szCs w:val="24"/>
              </w:rPr>
              <w:t>机构及相关人员是否存在以下出具不实检验检测数据、结果和报告的情形：</w:t>
            </w:r>
          </w:p>
          <w:p w14:paraId="7EBF35F9">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）样品的采集、标识、分发、流转、制备、保存、处置不符合标准等规定，存在样品污染、混淆、损毁、性状异常改变等情形；</w:t>
            </w:r>
          </w:p>
          <w:p w14:paraId="30C4B2C4">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）使用未经检定或者校准的仪器、设备、设施；</w:t>
            </w:r>
          </w:p>
          <w:p w14:paraId="01E6E9E5">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）违反国家有关强制性规定的检验检测规程或者方法；</w:t>
            </w:r>
          </w:p>
          <w:p w14:paraId="177F3AFB">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4</w:t>
            </w:r>
            <w:r>
              <w:rPr>
                <w:rFonts w:hint="eastAsia"/>
                <w:snapToGrid w:val="0"/>
                <w:color w:val="000000"/>
                <w:sz w:val="24"/>
                <w:szCs w:val="24"/>
              </w:rPr>
              <w:t>）未按照标准等规定传输、保存原始数据和报告。</w:t>
            </w:r>
          </w:p>
        </w:tc>
        <w:tc>
          <w:tcPr>
            <w:tcW w:w="2896" w:type="dxa"/>
            <w:gridSpan w:val="2"/>
            <w:noWrap w:val="0"/>
            <w:vAlign w:val="center"/>
          </w:tcPr>
          <w:p w14:paraId="482BEDF9">
            <w:pPr>
              <w:snapToGrid w:val="0"/>
              <w:spacing w:line="240" w:lineRule="atLeast"/>
              <w:jc w:val="center"/>
              <w:rPr>
                <w:snapToGrid w:val="0"/>
                <w:color w:val="000000"/>
                <w:sz w:val="24"/>
                <w:szCs w:val="24"/>
              </w:rPr>
            </w:pPr>
          </w:p>
        </w:tc>
        <w:tc>
          <w:tcPr>
            <w:tcW w:w="2194" w:type="dxa"/>
            <w:gridSpan w:val="2"/>
            <w:noWrap w:val="0"/>
            <w:vAlign w:val="center"/>
          </w:tcPr>
          <w:p w14:paraId="643A88B5">
            <w:pPr>
              <w:snapToGrid w:val="0"/>
              <w:spacing w:line="240" w:lineRule="atLeast"/>
              <w:jc w:val="center"/>
              <w:rPr>
                <w:snapToGrid w:val="0"/>
                <w:color w:val="000000"/>
                <w:sz w:val="24"/>
                <w:szCs w:val="24"/>
              </w:rPr>
            </w:pPr>
          </w:p>
        </w:tc>
      </w:tr>
      <w:tr w14:paraId="0493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3568" w:hRule="atLeast"/>
          <w:jc w:val="center"/>
        </w:trPr>
        <w:tc>
          <w:tcPr>
            <w:tcW w:w="914" w:type="dxa"/>
            <w:noWrap/>
            <w:vAlign w:val="center"/>
          </w:tcPr>
          <w:p w14:paraId="5B689D0B">
            <w:pPr>
              <w:snapToGrid w:val="0"/>
              <w:spacing w:line="240" w:lineRule="atLeast"/>
              <w:jc w:val="center"/>
              <w:rPr>
                <w:snapToGrid w:val="0"/>
                <w:color w:val="000000"/>
                <w:sz w:val="24"/>
                <w:szCs w:val="24"/>
              </w:rPr>
            </w:pPr>
            <w:r>
              <w:rPr>
                <w:snapToGrid w:val="0"/>
                <w:color w:val="000000"/>
                <w:sz w:val="24"/>
                <w:szCs w:val="24"/>
              </w:rPr>
              <w:t>14</w:t>
            </w:r>
          </w:p>
        </w:tc>
        <w:tc>
          <w:tcPr>
            <w:tcW w:w="2714" w:type="dxa"/>
            <w:gridSpan w:val="2"/>
            <w:noWrap/>
            <w:vAlign w:val="center"/>
          </w:tcPr>
          <w:p w14:paraId="20AAFD32">
            <w:pPr>
              <w:snapToGrid w:val="0"/>
              <w:spacing w:line="240" w:lineRule="atLeast"/>
              <w:rPr>
                <w:snapToGrid w:val="0"/>
                <w:color w:val="000000"/>
                <w:sz w:val="24"/>
                <w:szCs w:val="24"/>
              </w:rPr>
            </w:pPr>
            <w:r>
              <w:rPr>
                <w:rFonts w:hint="eastAsia"/>
                <w:snapToGrid w:val="0"/>
                <w:color w:val="000000"/>
                <w:sz w:val="24"/>
                <w:szCs w:val="24"/>
              </w:rPr>
              <w:t>不得出具虚假检验检测数据、结果的要求</w:t>
            </w:r>
          </w:p>
        </w:tc>
        <w:tc>
          <w:tcPr>
            <w:tcW w:w="5441" w:type="dxa"/>
            <w:gridSpan w:val="3"/>
            <w:noWrap w:val="0"/>
            <w:vAlign w:val="center"/>
          </w:tcPr>
          <w:p w14:paraId="2F5A4C58">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机构及相关人员不得存在以下出具虚假检验检测数据、结果和报告的情形：</w:t>
            </w:r>
          </w:p>
          <w:p w14:paraId="5F1C6E60">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）未经检验检测；</w:t>
            </w:r>
          </w:p>
          <w:p w14:paraId="56E4BE7B">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）伪造、变造原始数据、记录，或者未按照标准等规定采用原始数据、记录；</w:t>
            </w:r>
          </w:p>
          <w:p w14:paraId="064FDADB">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）减少、遗漏或者变更标准等规定的应当检验检测的项目，或者改变关键检验检测条件；</w:t>
            </w:r>
          </w:p>
          <w:p w14:paraId="2C417D2C">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4</w:t>
            </w:r>
            <w:r>
              <w:rPr>
                <w:rFonts w:hint="eastAsia"/>
                <w:snapToGrid w:val="0"/>
                <w:color w:val="000000"/>
                <w:sz w:val="24"/>
                <w:szCs w:val="24"/>
              </w:rPr>
              <w:t>）调换检验检测样品或者改变其原有状态进行检验检测；</w:t>
            </w:r>
          </w:p>
          <w:p w14:paraId="00C24250">
            <w:pPr>
              <w:snapToGrid w:val="0"/>
              <w:spacing w:line="240" w:lineRule="atLeast"/>
              <w:rPr>
                <w:snapToGrid w:val="0"/>
                <w:color w:val="FF0000"/>
                <w:sz w:val="24"/>
                <w:szCs w:val="24"/>
              </w:rPr>
            </w:pPr>
            <w:r>
              <w:rPr>
                <w:rFonts w:hint="eastAsia"/>
                <w:snapToGrid w:val="0"/>
                <w:color w:val="000000"/>
                <w:sz w:val="24"/>
                <w:szCs w:val="24"/>
              </w:rPr>
              <w:t>（</w:t>
            </w:r>
            <w:r>
              <w:rPr>
                <w:snapToGrid w:val="0"/>
                <w:color w:val="000000"/>
                <w:sz w:val="24"/>
                <w:szCs w:val="24"/>
              </w:rPr>
              <w:t>5</w:t>
            </w:r>
            <w:r>
              <w:rPr>
                <w:rFonts w:hint="eastAsia"/>
                <w:snapToGrid w:val="0"/>
                <w:color w:val="000000"/>
                <w:sz w:val="24"/>
                <w:szCs w:val="24"/>
              </w:rPr>
              <w:t>）伪造检验检测机构公章或者检验检测专用章，或者伪造授权签字人签名或者签发时间。</w:t>
            </w:r>
          </w:p>
        </w:tc>
        <w:tc>
          <w:tcPr>
            <w:tcW w:w="2896" w:type="dxa"/>
            <w:gridSpan w:val="2"/>
            <w:noWrap w:val="0"/>
            <w:vAlign w:val="center"/>
          </w:tcPr>
          <w:p w14:paraId="0D3E6AE8">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21E07FEE">
            <w:pPr>
              <w:snapToGrid w:val="0"/>
              <w:spacing w:line="240" w:lineRule="atLeast"/>
              <w:jc w:val="center"/>
              <w:rPr>
                <w:snapToGrid w:val="0"/>
                <w:color w:val="000000"/>
                <w:sz w:val="24"/>
                <w:szCs w:val="24"/>
              </w:rPr>
            </w:pPr>
          </w:p>
        </w:tc>
      </w:tr>
      <w:tr w14:paraId="1988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274" w:hRule="atLeast"/>
          <w:jc w:val="center"/>
        </w:trPr>
        <w:tc>
          <w:tcPr>
            <w:tcW w:w="914" w:type="dxa"/>
            <w:noWrap/>
            <w:vAlign w:val="center"/>
          </w:tcPr>
          <w:p w14:paraId="42833120">
            <w:pPr>
              <w:snapToGrid w:val="0"/>
              <w:spacing w:line="240" w:lineRule="atLeast"/>
              <w:jc w:val="center"/>
              <w:rPr>
                <w:snapToGrid w:val="0"/>
                <w:color w:val="000000"/>
                <w:sz w:val="24"/>
                <w:szCs w:val="24"/>
              </w:rPr>
            </w:pPr>
            <w:r>
              <w:rPr>
                <w:snapToGrid w:val="0"/>
                <w:color w:val="000000"/>
                <w:sz w:val="24"/>
                <w:szCs w:val="24"/>
              </w:rPr>
              <w:t>15</w:t>
            </w:r>
          </w:p>
        </w:tc>
        <w:tc>
          <w:tcPr>
            <w:tcW w:w="2714" w:type="dxa"/>
            <w:gridSpan w:val="2"/>
            <w:noWrap/>
            <w:vAlign w:val="center"/>
          </w:tcPr>
          <w:p w14:paraId="73AAD780">
            <w:pPr>
              <w:snapToGrid w:val="0"/>
              <w:spacing w:line="240" w:lineRule="atLeast"/>
              <w:rPr>
                <w:snapToGrid w:val="0"/>
                <w:color w:val="000000"/>
                <w:sz w:val="24"/>
                <w:szCs w:val="24"/>
              </w:rPr>
            </w:pPr>
            <w:r>
              <w:rPr>
                <w:rFonts w:hint="eastAsia"/>
                <w:snapToGrid w:val="0"/>
                <w:color w:val="000000"/>
                <w:sz w:val="24"/>
                <w:szCs w:val="24"/>
              </w:rPr>
              <w:t>规范实施分包</w:t>
            </w:r>
          </w:p>
        </w:tc>
        <w:tc>
          <w:tcPr>
            <w:tcW w:w="5441" w:type="dxa"/>
            <w:gridSpan w:val="3"/>
            <w:noWrap w:val="0"/>
            <w:vAlign w:val="center"/>
          </w:tcPr>
          <w:p w14:paraId="4F6C8134">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）若存在分包需求，应制定有关分包规范实施的管理文件。</w:t>
            </w:r>
          </w:p>
          <w:p w14:paraId="6196DBCC">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）实施分包的检验检测项目事先取得委托方的同意，分包给已经取得相关项目资质认定和能力的检验检测机构，并在检验检测报告中注明分包情况和承担分包项目的检验检测机构。</w:t>
            </w:r>
          </w:p>
          <w:p w14:paraId="0A0BE289">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）与分包方签署的分包合同、分包方提供的完整报告应当归档，妥善保存。</w:t>
            </w:r>
          </w:p>
        </w:tc>
        <w:tc>
          <w:tcPr>
            <w:tcW w:w="2896" w:type="dxa"/>
            <w:gridSpan w:val="2"/>
            <w:noWrap w:val="0"/>
            <w:vAlign w:val="center"/>
          </w:tcPr>
          <w:p w14:paraId="2FC0ACBC">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323ADAF2">
            <w:pPr>
              <w:snapToGrid w:val="0"/>
              <w:spacing w:line="240" w:lineRule="atLeast"/>
              <w:jc w:val="center"/>
              <w:rPr>
                <w:snapToGrid w:val="0"/>
                <w:color w:val="000000"/>
                <w:sz w:val="24"/>
                <w:szCs w:val="24"/>
              </w:rPr>
            </w:pPr>
          </w:p>
        </w:tc>
      </w:tr>
      <w:tr w14:paraId="07C7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1659" w:hRule="atLeast"/>
          <w:jc w:val="center"/>
        </w:trPr>
        <w:tc>
          <w:tcPr>
            <w:tcW w:w="914" w:type="dxa"/>
            <w:noWrap/>
            <w:vAlign w:val="center"/>
          </w:tcPr>
          <w:p w14:paraId="259606EC">
            <w:pPr>
              <w:snapToGrid w:val="0"/>
              <w:spacing w:line="240" w:lineRule="atLeast"/>
              <w:jc w:val="center"/>
              <w:rPr>
                <w:snapToGrid w:val="0"/>
                <w:color w:val="000000"/>
                <w:sz w:val="24"/>
                <w:szCs w:val="24"/>
              </w:rPr>
            </w:pPr>
            <w:r>
              <w:rPr>
                <w:snapToGrid w:val="0"/>
                <w:color w:val="000000"/>
                <w:sz w:val="24"/>
                <w:szCs w:val="24"/>
              </w:rPr>
              <w:t>16</w:t>
            </w:r>
          </w:p>
        </w:tc>
        <w:tc>
          <w:tcPr>
            <w:tcW w:w="2714" w:type="dxa"/>
            <w:gridSpan w:val="2"/>
            <w:noWrap/>
            <w:vAlign w:val="center"/>
          </w:tcPr>
          <w:p w14:paraId="4A76D677">
            <w:pPr>
              <w:snapToGrid w:val="0"/>
              <w:spacing w:line="240" w:lineRule="atLeast"/>
              <w:rPr>
                <w:snapToGrid w:val="0"/>
                <w:color w:val="000000"/>
                <w:sz w:val="24"/>
                <w:szCs w:val="24"/>
              </w:rPr>
            </w:pPr>
            <w:r>
              <w:rPr>
                <w:rFonts w:hint="eastAsia"/>
                <w:snapToGrid w:val="0"/>
                <w:color w:val="000000"/>
                <w:sz w:val="24"/>
                <w:szCs w:val="24"/>
              </w:rPr>
              <w:t>机构情况发生变化时，及时办理有关变更手续</w:t>
            </w:r>
          </w:p>
        </w:tc>
        <w:tc>
          <w:tcPr>
            <w:tcW w:w="5441" w:type="dxa"/>
            <w:gridSpan w:val="3"/>
            <w:noWrap w:val="0"/>
            <w:vAlign w:val="center"/>
          </w:tcPr>
          <w:p w14:paraId="4C16DA7D">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）机构名称、地址、法人性质、法定代表人、最高管理者、技术负责人、授权签字人等内容发生变化时，是否及时向资质认定管理部门申请变更。</w:t>
            </w:r>
          </w:p>
          <w:p w14:paraId="15CB7D16">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）资质认定检验检测项目取消、检验检测标准或方法等内容发生变更时，是否及时申请变更。</w:t>
            </w:r>
          </w:p>
        </w:tc>
        <w:tc>
          <w:tcPr>
            <w:tcW w:w="2896" w:type="dxa"/>
            <w:gridSpan w:val="2"/>
            <w:noWrap w:val="0"/>
            <w:vAlign w:val="center"/>
          </w:tcPr>
          <w:p w14:paraId="16FE7468">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1BD40C1B">
            <w:pPr>
              <w:snapToGrid w:val="0"/>
              <w:spacing w:line="240" w:lineRule="atLeast"/>
              <w:jc w:val="center"/>
              <w:rPr>
                <w:snapToGrid w:val="0"/>
                <w:color w:val="000000"/>
                <w:sz w:val="24"/>
                <w:szCs w:val="24"/>
              </w:rPr>
            </w:pPr>
          </w:p>
        </w:tc>
      </w:tr>
      <w:tr w14:paraId="5E59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1860" w:hRule="atLeast"/>
          <w:jc w:val="center"/>
        </w:trPr>
        <w:tc>
          <w:tcPr>
            <w:tcW w:w="914" w:type="dxa"/>
            <w:noWrap/>
            <w:vAlign w:val="center"/>
          </w:tcPr>
          <w:p w14:paraId="05E79099">
            <w:pPr>
              <w:snapToGrid w:val="0"/>
              <w:spacing w:line="240" w:lineRule="atLeast"/>
              <w:jc w:val="center"/>
              <w:rPr>
                <w:snapToGrid w:val="0"/>
                <w:color w:val="000000"/>
                <w:sz w:val="24"/>
                <w:szCs w:val="24"/>
              </w:rPr>
            </w:pPr>
            <w:r>
              <w:rPr>
                <w:snapToGrid w:val="0"/>
                <w:color w:val="000000"/>
                <w:sz w:val="24"/>
                <w:szCs w:val="24"/>
              </w:rPr>
              <w:t>17</w:t>
            </w:r>
          </w:p>
        </w:tc>
        <w:tc>
          <w:tcPr>
            <w:tcW w:w="2714" w:type="dxa"/>
            <w:gridSpan w:val="2"/>
            <w:noWrap/>
            <w:vAlign w:val="center"/>
          </w:tcPr>
          <w:p w14:paraId="23BDD83D">
            <w:pPr>
              <w:snapToGrid w:val="0"/>
              <w:spacing w:line="240" w:lineRule="atLeast"/>
              <w:rPr>
                <w:snapToGrid w:val="0"/>
                <w:color w:val="000000"/>
                <w:sz w:val="24"/>
                <w:szCs w:val="24"/>
              </w:rPr>
            </w:pPr>
            <w:r>
              <w:rPr>
                <w:rFonts w:hint="eastAsia"/>
                <w:snapToGrid w:val="0"/>
                <w:color w:val="000000"/>
                <w:sz w:val="24"/>
                <w:szCs w:val="24"/>
              </w:rPr>
              <w:t>按要求上报开展检验检测活动以及统计数据等信息</w:t>
            </w:r>
          </w:p>
        </w:tc>
        <w:tc>
          <w:tcPr>
            <w:tcW w:w="5441" w:type="dxa"/>
            <w:gridSpan w:val="3"/>
            <w:noWrap w:val="0"/>
            <w:vAlign w:val="center"/>
          </w:tcPr>
          <w:p w14:paraId="50FA1016">
            <w:pPr>
              <w:snapToGrid w:val="0"/>
              <w:spacing w:line="240" w:lineRule="atLeast"/>
              <w:rPr>
                <w:rFonts w:hint="eastAsia" w:ascii="Times New Roman" w:hAnsi="Times New Roman"/>
                <w:snapToGrid w:val="0"/>
                <w:color w:val="000000"/>
                <w:sz w:val="24"/>
                <w:szCs w:val="24"/>
              </w:rPr>
            </w:pPr>
            <w:r>
              <w:rPr>
                <w:rFonts w:hint="eastAsia"/>
                <w:snapToGrid w:val="0"/>
                <w:color w:val="000000"/>
                <w:sz w:val="24"/>
                <w:szCs w:val="24"/>
              </w:rPr>
              <w:t>（</w:t>
            </w:r>
            <w:r>
              <w:rPr>
                <w:snapToGrid w:val="0"/>
                <w:color w:val="000000"/>
                <w:sz w:val="24"/>
                <w:szCs w:val="24"/>
              </w:rPr>
              <w:t>1</w:t>
            </w:r>
            <w:r>
              <w:rPr>
                <w:rFonts w:hint="eastAsia"/>
                <w:snapToGrid w:val="0"/>
                <w:color w:val="000000"/>
                <w:sz w:val="24"/>
                <w:szCs w:val="24"/>
              </w:rPr>
              <w:t>）制定按期向资质认定部门上报持续符合相应条件和要求、遵守从业规范、开展检验检测活动以及统计数据的制度，并按《检验检测统计调查制度》的要求，及时、准确地上报相关统计信息。</w:t>
            </w:r>
          </w:p>
          <w:p w14:paraId="5BAF48F0">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2</w:t>
            </w:r>
            <w:r>
              <w:rPr>
                <w:rFonts w:hint="eastAsia"/>
                <w:snapToGrid w:val="0"/>
                <w:color w:val="000000"/>
                <w:sz w:val="24"/>
                <w:szCs w:val="24"/>
              </w:rPr>
              <w:t>）归档保存历年上报的年度报告、统计数据，检查资质认定部门网上系统本机构提交数据的情况。</w:t>
            </w:r>
          </w:p>
        </w:tc>
        <w:tc>
          <w:tcPr>
            <w:tcW w:w="2896" w:type="dxa"/>
            <w:gridSpan w:val="2"/>
            <w:noWrap w:val="0"/>
            <w:vAlign w:val="center"/>
          </w:tcPr>
          <w:p w14:paraId="48285778">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750E0B1E">
            <w:pPr>
              <w:snapToGrid w:val="0"/>
              <w:spacing w:line="240" w:lineRule="atLeast"/>
              <w:jc w:val="center"/>
              <w:rPr>
                <w:snapToGrid w:val="0"/>
                <w:color w:val="000000"/>
                <w:sz w:val="24"/>
                <w:szCs w:val="24"/>
              </w:rPr>
            </w:pPr>
          </w:p>
        </w:tc>
      </w:tr>
      <w:tr w14:paraId="5150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1059" w:hRule="atLeast"/>
          <w:jc w:val="center"/>
        </w:trPr>
        <w:tc>
          <w:tcPr>
            <w:tcW w:w="914" w:type="dxa"/>
            <w:noWrap/>
            <w:vAlign w:val="center"/>
          </w:tcPr>
          <w:p w14:paraId="3CC0E474">
            <w:pPr>
              <w:snapToGrid w:val="0"/>
              <w:spacing w:line="240" w:lineRule="atLeast"/>
              <w:jc w:val="center"/>
              <w:rPr>
                <w:snapToGrid w:val="0"/>
                <w:color w:val="000000"/>
                <w:sz w:val="24"/>
                <w:szCs w:val="24"/>
              </w:rPr>
            </w:pPr>
            <w:r>
              <w:rPr>
                <w:snapToGrid w:val="0"/>
                <w:color w:val="000000"/>
                <w:sz w:val="24"/>
                <w:szCs w:val="24"/>
              </w:rPr>
              <w:t>18</w:t>
            </w:r>
          </w:p>
        </w:tc>
        <w:tc>
          <w:tcPr>
            <w:tcW w:w="2714" w:type="dxa"/>
            <w:gridSpan w:val="2"/>
            <w:noWrap/>
            <w:vAlign w:val="center"/>
          </w:tcPr>
          <w:p w14:paraId="53AC6A7A">
            <w:pPr>
              <w:snapToGrid w:val="0"/>
              <w:spacing w:line="240" w:lineRule="atLeast"/>
              <w:rPr>
                <w:snapToGrid w:val="0"/>
                <w:color w:val="000000"/>
                <w:sz w:val="24"/>
                <w:szCs w:val="24"/>
              </w:rPr>
            </w:pPr>
            <w:r>
              <w:rPr>
                <w:rFonts w:hint="eastAsia"/>
                <w:snapToGrid w:val="0"/>
                <w:color w:val="000000"/>
                <w:sz w:val="24"/>
                <w:szCs w:val="24"/>
              </w:rPr>
              <w:t>参加能力验证</w:t>
            </w:r>
          </w:p>
        </w:tc>
        <w:tc>
          <w:tcPr>
            <w:tcW w:w="5441" w:type="dxa"/>
            <w:gridSpan w:val="3"/>
            <w:noWrap w:val="0"/>
            <w:vAlign w:val="center"/>
          </w:tcPr>
          <w:p w14:paraId="6869E3F7">
            <w:pPr>
              <w:snapToGrid w:val="0"/>
              <w:spacing w:line="240" w:lineRule="atLeast"/>
              <w:rPr>
                <w:snapToGrid w:val="0"/>
                <w:color w:val="000000"/>
                <w:sz w:val="24"/>
                <w:szCs w:val="24"/>
              </w:rPr>
            </w:pPr>
            <w:r>
              <w:rPr>
                <w:rFonts w:hint="eastAsia"/>
                <w:snapToGrid w:val="0"/>
                <w:color w:val="000000"/>
                <w:sz w:val="24"/>
                <w:szCs w:val="24"/>
              </w:rPr>
              <w:t>制定制度，按要求参加省级以上市场监管部门组织的能力验证。检查本机构参加能力验证的情况和结果。</w:t>
            </w:r>
          </w:p>
        </w:tc>
        <w:tc>
          <w:tcPr>
            <w:tcW w:w="2896" w:type="dxa"/>
            <w:gridSpan w:val="2"/>
            <w:noWrap w:val="0"/>
            <w:vAlign w:val="center"/>
          </w:tcPr>
          <w:p w14:paraId="1483E955">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1795CFBA">
            <w:pPr>
              <w:snapToGrid w:val="0"/>
              <w:spacing w:line="240" w:lineRule="atLeast"/>
              <w:jc w:val="center"/>
              <w:rPr>
                <w:snapToGrid w:val="0"/>
                <w:color w:val="000000"/>
                <w:sz w:val="24"/>
                <w:szCs w:val="24"/>
              </w:rPr>
            </w:pPr>
          </w:p>
        </w:tc>
      </w:tr>
      <w:tr w14:paraId="4D8A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1059" w:hRule="atLeast"/>
          <w:jc w:val="center"/>
        </w:trPr>
        <w:tc>
          <w:tcPr>
            <w:tcW w:w="914" w:type="dxa"/>
            <w:noWrap/>
            <w:vAlign w:val="center"/>
          </w:tcPr>
          <w:p w14:paraId="713FF7B6">
            <w:pPr>
              <w:snapToGrid w:val="0"/>
              <w:spacing w:line="240" w:lineRule="atLeast"/>
              <w:jc w:val="center"/>
              <w:rPr>
                <w:snapToGrid w:val="0"/>
                <w:color w:val="000000"/>
                <w:sz w:val="24"/>
                <w:szCs w:val="24"/>
              </w:rPr>
            </w:pPr>
            <w:r>
              <w:rPr>
                <w:rFonts w:hint="eastAsia"/>
                <w:snapToGrid w:val="0"/>
                <w:color w:val="000000"/>
                <w:sz w:val="24"/>
                <w:szCs w:val="24"/>
              </w:rPr>
              <w:t>1</w:t>
            </w:r>
            <w:r>
              <w:rPr>
                <w:snapToGrid w:val="0"/>
                <w:color w:val="000000"/>
                <w:sz w:val="24"/>
                <w:szCs w:val="24"/>
              </w:rPr>
              <w:t>9</w:t>
            </w:r>
          </w:p>
        </w:tc>
        <w:tc>
          <w:tcPr>
            <w:tcW w:w="2714" w:type="dxa"/>
            <w:gridSpan w:val="2"/>
            <w:noWrap/>
            <w:vAlign w:val="center"/>
          </w:tcPr>
          <w:p w14:paraId="4905AEB1">
            <w:pPr>
              <w:snapToGrid w:val="0"/>
              <w:spacing w:line="240" w:lineRule="atLeast"/>
              <w:rPr>
                <w:snapToGrid w:val="0"/>
                <w:color w:val="000000"/>
                <w:sz w:val="24"/>
                <w:szCs w:val="24"/>
              </w:rPr>
            </w:pPr>
            <w:r>
              <w:rPr>
                <w:rFonts w:hint="default"/>
                <w:snapToGrid w:val="0"/>
                <w:color w:val="000000"/>
                <w:sz w:val="24"/>
                <w:szCs w:val="24"/>
                <w:lang w:val="en-US" w:eastAsia="zh-CN"/>
              </w:rPr>
              <w:t>“</w:t>
            </w:r>
            <w:r>
              <w:rPr>
                <w:rFonts w:hint="eastAsia"/>
                <w:snapToGrid w:val="0"/>
                <w:color w:val="000000"/>
                <w:sz w:val="24"/>
                <w:szCs w:val="24"/>
              </w:rPr>
              <w:t>一单一库</w:t>
            </w:r>
            <w:r>
              <w:rPr>
                <w:rFonts w:hint="default"/>
                <w:snapToGrid w:val="0"/>
                <w:color w:val="000000"/>
                <w:sz w:val="24"/>
                <w:szCs w:val="24"/>
                <w:lang w:val="en-US" w:eastAsia="zh-CN"/>
              </w:rPr>
              <w:t>”</w:t>
            </w:r>
            <w:r>
              <w:rPr>
                <w:rFonts w:hint="eastAsia"/>
                <w:snapToGrid w:val="0"/>
                <w:color w:val="000000"/>
                <w:sz w:val="24"/>
                <w:szCs w:val="24"/>
                <w:lang w:val="en-US" w:eastAsia="zh-CN"/>
              </w:rPr>
              <w:t>核查</w:t>
            </w:r>
          </w:p>
        </w:tc>
        <w:tc>
          <w:tcPr>
            <w:tcW w:w="5441" w:type="dxa"/>
            <w:gridSpan w:val="3"/>
            <w:noWrap w:val="0"/>
            <w:vAlign w:val="center"/>
          </w:tcPr>
          <w:p w14:paraId="46D5A0F0">
            <w:pPr>
              <w:snapToGrid w:val="0"/>
              <w:spacing w:line="240" w:lineRule="atLeast"/>
              <w:rPr>
                <w:snapToGrid w:val="0"/>
                <w:color w:val="000000"/>
                <w:sz w:val="24"/>
                <w:szCs w:val="24"/>
              </w:rPr>
            </w:pPr>
            <w:r>
              <w:rPr>
                <w:rFonts w:hint="eastAsia"/>
                <w:snapToGrid w:val="0"/>
                <w:color w:val="000000"/>
                <w:sz w:val="24"/>
                <w:szCs w:val="24"/>
              </w:rPr>
              <w:t>（1）检验检测机构应梳理已取得但未列入“一单一库”的检验检测能力项目，资质认定证书到期后不再延续相关资质。</w:t>
            </w:r>
          </w:p>
          <w:p w14:paraId="403330CA">
            <w:pPr>
              <w:snapToGrid w:val="0"/>
              <w:spacing w:line="240" w:lineRule="atLeast"/>
              <w:rPr>
                <w:snapToGrid w:val="0"/>
                <w:color w:val="000000"/>
                <w:sz w:val="24"/>
                <w:szCs w:val="24"/>
              </w:rPr>
            </w:pPr>
            <w:r>
              <w:rPr>
                <w:rFonts w:hint="eastAsia"/>
                <w:snapToGrid w:val="0"/>
                <w:color w:val="000000"/>
                <w:sz w:val="24"/>
                <w:szCs w:val="24"/>
              </w:rPr>
              <w:t>（2）2</w:t>
            </w:r>
            <w:r>
              <w:rPr>
                <w:snapToGrid w:val="0"/>
                <w:color w:val="000000"/>
                <w:sz w:val="24"/>
                <w:szCs w:val="24"/>
              </w:rPr>
              <w:t>026</w:t>
            </w:r>
            <w:r>
              <w:rPr>
                <w:rFonts w:hint="eastAsia"/>
                <w:snapToGrid w:val="0"/>
                <w:color w:val="000000"/>
                <w:sz w:val="24"/>
                <w:szCs w:val="24"/>
              </w:rPr>
              <w:t>年6月1日后，检验检测机构应当在“一单一库”范围内，依法依规使用资质认定证书及标志（</w:t>
            </w:r>
            <w:r>
              <w:rPr>
                <w:snapToGrid w:val="0"/>
                <w:color w:val="000000"/>
                <w:sz w:val="24"/>
                <w:szCs w:val="24"/>
              </w:rPr>
              <w:t>CMA</w:t>
            </w:r>
            <w:r>
              <w:rPr>
                <w:rFonts w:hint="eastAsia"/>
                <w:snapToGrid w:val="0"/>
                <w:color w:val="000000"/>
                <w:sz w:val="24"/>
                <w:szCs w:val="24"/>
              </w:rPr>
              <w:t>）。</w:t>
            </w:r>
          </w:p>
          <w:p w14:paraId="16D7AB76">
            <w:pPr>
              <w:snapToGrid w:val="0"/>
              <w:spacing w:line="240" w:lineRule="atLeast"/>
              <w:rPr>
                <w:snapToGrid w:val="0"/>
                <w:color w:val="000000"/>
                <w:sz w:val="24"/>
                <w:szCs w:val="24"/>
              </w:rPr>
            </w:pPr>
            <w:r>
              <w:rPr>
                <w:rFonts w:hint="eastAsia"/>
                <w:snapToGrid w:val="0"/>
                <w:color w:val="000000"/>
                <w:sz w:val="24"/>
                <w:szCs w:val="24"/>
              </w:rPr>
              <w:t>（</w:t>
            </w:r>
            <w:r>
              <w:rPr>
                <w:snapToGrid w:val="0"/>
                <w:color w:val="000000"/>
                <w:sz w:val="24"/>
                <w:szCs w:val="24"/>
              </w:rPr>
              <w:t>3</w:t>
            </w:r>
            <w:r>
              <w:rPr>
                <w:rFonts w:hint="eastAsia"/>
                <w:snapToGrid w:val="0"/>
                <w:color w:val="000000"/>
                <w:sz w:val="24"/>
                <w:szCs w:val="24"/>
              </w:rPr>
              <w:t>）2</w:t>
            </w:r>
            <w:r>
              <w:rPr>
                <w:snapToGrid w:val="0"/>
                <w:color w:val="000000"/>
                <w:sz w:val="24"/>
                <w:szCs w:val="24"/>
              </w:rPr>
              <w:t>026</w:t>
            </w:r>
            <w:r>
              <w:rPr>
                <w:rFonts w:hint="eastAsia"/>
                <w:snapToGrid w:val="0"/>
                <w:color w:val="000000"/>
                <w:sz w:val="24"/>
                <w:szCs w:val="24"/>
              </w:rPr>
              <w:t>年6月1日后，检验检测机构对于未纳入《检验检测机构资质认定能力项目库》的检验检测项目，可以按照能力具备、风险可控、用户自愿的原则，向委托方提供检验检测服务，但出具的检验检测报告不得标注资质认定标志。</w:t>
            </w:r>
          </w:p>
          <w:p w14:paraId="287064EE">
            <w:pPr>
              <w:snapToGrid w:val="0"/>
              <w:spacing w:line="240" w:lineRule="atLeast"/>
              <w:rPr>
                <w:snapToGrid w:val="0"/>
                <w:color w:val="000000"/>
              </w:rPr>
            </w:pPr>
            <w:r>
              <w:rPr>
                <w:rFonts w:hint="eastAsia"/>
                <w:snapToGrid w:val="0"/>
                <w:color w:val="000000"/>
                <w:sz w:val="24"/>
                <w:szCs w:val="24"/>
              </w:rPr>
              <w:t>（</w:t>
            </w:r>
            <w:r>
              <w:rPr>
                <w:snapToGrid w:val="0"/>
                <w:color w:val="000000"/>
                <w:sz w:val="24"/>
                <w:szCs w:val="24"/>
              </w:rPr>
              <w:t>4</w:t>
            </w:r>
            <w:r>
              <w:rPr>
                <w:rFonts w:hint="eastAsia"/>
                <w:snapToGrid w:val="0"/>
                <w:color w:val="000000"/>
                <w:sz w:val="24"/>
                <w:szCs w:val="24"/>
              </w:rPr>
              <w:t>）检验检测机构在资质认定范围内使用的废止标准，应当严格按照有关规定限定使用范围，并在检验检测报告上明确标示说明。</w:t>
            </w:r>
          </w:p>
        </w:tc>
        <w:tc>
          <w:tcPr>
            <w:tcW w:w="2896" w:type="dxa"/>
            <w:gridSpan w:val="2"/>
            <w:noWrap w:val="0"/>
            <w:vAlign w:val="center"/>
          </w:tcPr>
          <w:p w14:paraId="72635DD9">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5D729C4C">
            <w:pPr>
              <w:snapToGrid w:val="0"/>
              <w:spacing w:line="240" w:lineRule="atLeast"/>
              <w:jc w:val="center"/>
              <w:rPr>
                <w:snapToGrid w:val="0"/>
                <w:color w:val="000000"/>
                <w:sz w:val="24"/>
                <w:szCs w:val="24"/>
              </w:rPr>
            </w:pPr>
          </w:p>
        </w:tc>
      </w:tr>
      <w:tr w14:paraId="786C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9" w:type="dxa"/>
            <w:left w:w="108" w:type="dxa"/>
            <w:bottom w:w="49" w:type="dxa"/>
            <w:right w:w="108" w:type="dxa"/>
          </w:tblCellMar>
        </w:tblPrEx>
        <w:trPr>
          <w:trHeight w:val="1059" w:hRule="atLeast"/>
          <w:jc w:val="center"/>
        </w:trPr>
        <w:tc>
          <w:tcPr>
            <w:tcW w:w="914" w:type="dxa"/>
            <w:noWrap/>
            <w:vAlign w:val="center"/>
          </w:tcPr>
          <w:p w14:paraId="081B1A0A">
            <w:pPr>
              <w:snapToGrid w:val="0"/>
              <w:spacing w:line="240" w:lineRule="atLeast"/>
              <w:jc w:val="center"/>
              <w:rPr>
                <w:snapToGrid w:val="0"/>
                <w:color w:val="000000"/>
                <w:sz w:val="24"/>
                <w:szCs w:val="24"/>
              </w:rPr>
            </w:pPr>
            <w:r>
              <w:rPr>
                <w:rFonts w:hint="eastAsia"/>
                <w:snapToGrid w:val="0"/>
                <w:color w:val="000000"/>
                <w:sz w:val="24"/>
                <w:szCs w:val="24"/>
              </w:rPr>
              <w:t>2</w:t>
            </w:r>
            <w:r>
              <w:rPr>
                <w:snapToGrid w:val="0"/>
                <w:color w:val="000000"/>
                <w:sz w:val="24"/>
                <w:szCs w:val="24"/>
              </w:rPr>
              <w:t>0</w:t>
            </w:r>
          </w:p>
        </w:tc>
        <w:tc>
          <w:tcPr>
            <w:tcW w:w="2714" w:type="dxa"/>
            <w:gridSpan w:val="2"/>
            <w:noWrap/>
            <w:vAlign w:val="center"/>
          </w:tcPr>
          <w:p w14:paraId="1CCF21BC">
            <w:pPr>
              <w:snapToGrid w:val="0"/>
              <w:spacing w:line="240" w:lineRule="atLeast"/>
              <w:rPr>
                <w:rFonts w:hint="eastAsia" w:eastAsia="仿宋_GB2312"/>
                <w:snapToGrid w:val="0"/>
                <w:color w:val="000000"/>
                <w:sz w:val="24"/>
                <w:szCs w:val="24"/>
                <w:lang w:eastAsia="zh-CN"/>
              </w:rPr>
            </w:pPr>
            <w:r>
              <w:rPr>
                <w:rFonts w:hint="eastAsia"/>
                <w:snapToGrid w:val="0"/>
                <w:color w:val="000000"/>
                <w:sz w:val="24"/>
                <w:szCs w:val="24"/>
              </w:rPr>
              <w:t>质量体系</w:t>
            </w:r>
            <w:r>
              <w:rPr>
                <w:rFonts w:hint="eastAsia"/>
                <w:snapToGrid w:val="0"/>
                <w:color w:val="000000"/>
                <w:sz w:val="24"/>
                <w:szCs w:val="24"/>
                <w:lang w:val="en-US" w:eastAsia="zh-CN"/>
              </w:rPr>
              <w:t>有效</w:t>
            </w:r>
            <w:r>
              <w:rPr>
                <w:rFonts w:hint="eastAsia"/>
                <w:snapToGrid w:val="0"/>
                <w:color w:val="000000"/>
                <w:sz w:val="24"/>
                <w:szCs w:val="24"/>
              </w:rPr>
              <w:t>运行</w:t>
            </w:r>
          </w:p>
        </w:tc>
        <w:tc>
          <w:tcPr>
            <w:tcW w:w="5441" w:type="dxa"/>
            <w:gridSpan w:val="3"/>
            <w:noWrap w:val="0"/>
            <w:vAlign w:val="center"/>
          </w:tcPr>
          <w:p w14:paraId="06246746">
            <w:pPr>
              <w:snapToGrid w:val="0"/>
              <w:spacing w:line="240" w:lineRule="atLeast"/>
              <w:rPr>
                <w:snapToGrid w:val="0"/>
                <w:color w:val="000000"/>
                <w:sz w:val="24"/>
                <w:szCs w:val="24"/>
              </w:rPr>
            </w:pPr>
            <w:r>
              <w:rPr>
                <w:rFonts w:hint="eastAsia"/>
                <w:snapToGrid w:val="0"/>
                <w:color w:val="000000"/>
                <w:sz w:val="24"/>
                <w:szCs w:val="24"/>
              </w:rPr>
              <w:t>（1）检验检测机构应当对检验检测数据、结果的准确性或者有效性有影响的设备（包括用于测量环境条件等辅助测量设备）实施检定、校准或核查，保证数据、结果满足计量溯源性要求。</w:t>
            </w:r>
          </w:p>
          <w:p w14:paraId="15E10D37">
            <w:pPr>
              <w:snapToGrid w:val="0"/>
              <w:spacing w:line="240" w:lineRule="atLeast"/>
              <w:jc w:val="left"/>
              <w:rPr>
                <w:rFonts w:ascii="Times New Roman" w:hAnsi="Times New Roman" w:eastAsia="仿宋_GB2312"/>
                <w:snapToGrid w:val="0"/>
                <w:color w:val="000000"/>
                <w:sz w:val="24"/>
              </w:rPr>
            </w:pPr>
            <w:r>
              <w:rPr>
                <w:rFonts w:hint="eastAsia" w:ascii="Times New Roman" w:hAnsi="Times New Roman" w:eastAsia="仿宋_GB2312"/>
                <w:snapToGrid w:val="0"/>
                <w:color w:val="000000"/>
                <w:sz w:val="24"/>
                <w:szCs w:val="24"/>
              </w:rPr>
              <w:t>（2）检验检测机构应当实施有效的数据、结果质量控制活动，质量控制活动与检验检测工作相适应。数据、</w:t>
            </w:r>
            <w:r>
              <w:rPr>
                <w:rFonts w:hint="eastAsia" w:ascii="Times New Roman" w:hAnsi="Times New Roman" w:eastAsia="仿宋_GB2312"/>
                <w:snapToGrid w:val="0"/>
                <w:color w:val="000000"/>
                <w:sz w:val="24"/>
              </w:rPr>
              <w:t>结果质量控制活动包括内部质量控制活动和外部质量控制活动。</w:t>
            </w:r>
          </w:p>
          <w:p w14:paraId="1C2B7BC0">
            <w:pPr>
              <w:pStyle w:val="5"/>
              <w:jc w:val="left"/>
              <w:rPr>
                <w:rFonts w:eastAsia="仿宋_GB2312"/>
                <w:snapToGrid w:val="0"/>
                <w:color w:val="000000"/>
                <w:sz w:val="24"/>
              </w:rPr>
            </w:pPr>
            <w:r>
              <w:rPr>
                <w:rFonts w:hint="eastAsia" w:eastAsia="仿宋_GB2312"/>
                <w:snapToGrid w:val="0"/>
                <w:color w:val="000000"/>
                <w:sz w:val="24"/>
              </w:rPr>
              <w:t>（3）检验检测机构应当定期审查和完善管理体系，实施内部审核和管理评审。</w:t>
            </w:r>
          </w:p>
        </w:tc>
        <w:tc>
          <w:tcPr>
            <w:tcW w:w="2896" w:type="dxa"/>
            <w:gridSpan w:val="2"/>
            <w:noWrap w:val="0"/>
            <w:vAlign w:val="center"/>
          </w:tcPr>
          <w:p w14:paraId="36EFEC4E">
            <w:pPr>
              <w:snapToGrid w:val="0"/>
              <w:spacing w:line="240" w:lineRule="atLeast"/>
              <w:jc w:val="center"/>
              <w:rPr>
                <w:snapToGrid w:val="0"/>
                <w:color w:val="000000"/>
                <w:sz w:val="24"/>
                <w:szCs w:val="24"/>
              </w:rPr>
            </w:pPr>
            <w:r>
              <w:rPr>
                <w:rFonts w:hint="eastAsia"/>
                <w:snapToGrid w:val="0"/>
                <w:color w:val="000000"/>
                <w:sz w:val="24"/>
                <w:szCs w:val="24"/>
              </w:rPr>
              <w:t>（是/否/不适用）</w:t>
            </w:r>
          </w:p>
        </w:tc>
        <w:tc>
          <w:tcPr>
            <w:tcW w:w="2194" w:type="dxa"/>
            <w:gridSpan w:val="2"/>
            <w:noWrap w:val="0"/>
            <w:vAlign w:val="center"/>
          </w:tcPr>
          <w:p w14:paraId="1B4BE5F7">
            <w:pPr>
              <w:snapToGrid w:val="0"/>
              <w:spacing w:line="240" w:lineRule="atLeast"/>
              <w:jc w:val="center"/>
              <w:rPr>
                <w:snapToGrid w:val="0"/>
                <w:color w:val="000000"/>
                <w:sz w:val="24"/>
                <w:szCs w:val="24"/>
              </w:rPr>
            </w:pPr>
          </w:p>
        </w:tc>
      </w:tr>
    </w:tbl>
    <w:p w14:paraId="747878A3">
      <w:pPr>
        <w:keepNext w:val="0"/>
        <w:keepLines w:val="0"/>
        <w:pageBreakBefore w:val="0"/>
        <w:widowControl w:val="0"/>
        <w:kinsoku/>
        <w:overflowPunct w:val="0"/>
        <w:topLinePunct/>
        <w:autoSpaceDE/>
        <w:autoSpaceDN/>
        <w:bidi w:val="0"/>
        <w:snapToGrid/>
        <w:spacing w:line="240" w:lineRule="auto"/>
        <w:jc w:val="left"/>
        <w:textAlignment w:val="auto"/>
        <w:outlineLvl w:val="9"/>
        <w:rPr>
          <w:rFonts w:hint="eastAsia" w:ascii="Times New Roman" w:hAnsi="Times New Roman" w:eastAsia="仿宋_GB2312" w:cs="Times New Roman"/>
          <w:kern w:val="2"/>
          <w:sz w:val="32"/>
          <w:lang w:val="en-US" w:eastAsia="zh-CN"/>
        </w:rPr>
      </w:pPr>
    </w:p>
    <w:p w14:paraId="53E9B951">
      <w:pPr>
        <w:pStyle w:val="9"/>
        <w:bidi w:val="0"/>
        <w:rPr>
          <w:rFonts w:hint="default"/>
          <w:lang w:val="en-US" w:eastAsia="zh-CN"/>
        </w:rPr>
      </w:pPr>
    </w:p>
    <w:sectPr>
      <w:pgSz w:w="16838" w:h="11906" w:orient="landscape"/>
      <w:pgMar w:top="1474" w:right="1984" w:bottom="1474" w:left="164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946520"/>
    <w:rsid w:val="063F6C84"/>
    <w:rsid w:val="0E946520"/>
    <w:rsid w:val="20B9170A"/>
    <w:rsid w:val="26F947D6"/>
    <w:rsid w:val="277D71B5"/>
    <w:rsid w:val="27B40E77"/>
    <w:rsid w:val="2EAE17F0"/>
    <w:rsid w:val="43BA1E99"/>
    <w:rsid w:val="46C6602A"/>
    <w:rsid w:val="492C413F"/>
    <w:rsid w:val="4A326795"/>
    <w:rsid w:val="51F47D1D"/>
    <w:rsid w:val="59617D35"/>
    <w:rsid w:val="5CDD5A24"/>
    <w:rsid w:val="77412101"/>
    <w:rsid w:val="7E074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spacing w:line="240" w:lineRule="auto"/>
      <w:jc w:val="both"/>
    </w:pPr>
    <w:rPr>
      <w:rFonts w:ascii="Times New Roman" w:hAnsi="Times New Roman" w:eastAsia="仿宋_GB2312" w:cs="Times New Roman"/>
      <w:spacing w:val="0"/>
      <w:kern w:val="2"/>
      <w:sz w:val="32"/>
      <w:szCs w:val="32"/>
      <w:lang w:val="en-US" w:eastAsia="zh-CN" w:bidi="ar-SA"/>
    </w:rPr>
  </w:style>
  <w:style w:type="paragraph" w:styleId="2">
    <w:name w:val="heading 1"/>
    <w:next w:val="1"/>
    <w:qFormat/>
    <w:uiPriority w:val="0"/>
    <w:pPr>
      <w:keepNext/>
      <w:keepLines/>
      <w:spacing w:beforeLines="0" w:beforeAutospacing="0" w:afterLines="0" w:afterAutospacing="0" w:line="600" w:lineRule="exact"/>
      <w:ind w:firstLine="880" w:firstLineChars="200"/>
      <w:jc w:val="left"/>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600" w:lineRule="exact"/>
      <w:ind w:firstLine="880" w:firstLineChars="200"/>
      <w:outlineLvl w:val="1"/>
    </w:pPr>
    <w:rPr>
      <w:rFonts w:ascii="楷体_GB2312" w:hAnsi="楷体_GB2312" w:eastAsia="楷体_GB2312" w:cs="楷体_GB2312"/>
      <w:sz w:val="32"/>
      <w:szCs w:val="32"/>
    </w:rPr>
  </w:style>
  <w:style w:type="paragraph" w:styleId="4">
    <w:name w:val="heading 3"/>
    <w:next w:val="1"/>
    <w:unhideWhenUsed/>
    <w:qFormat/>
    <w:uiPriority w:val="0"/>
    <w:pPr>
      <w:keepNext/>
      <w:keepLines/>
      <w:spacing w:beforeLines="0" w:beforeAutospacing="0" w:afterLines="0" w:afterAutospacing="0" w:line="600" w:lineRule="exact"/>
      <w:ind w:firstLine="880" w:firstLineChars="200"/>
      <w:jc w:val="both"/>
      <w:outlineLvl w:val="2"/>
    </w:pPr>
    <w:rPr>
      <w:rFonts w:ascii="仿宋_GB2312" w:hAnsi="仿宋_GB2312" w:eastAsia="仿宋_GB2312" w:cs="仿宋_GB2312"/>
      <w:sz w:val="32"/>
      <w:szCs w:val="32"/>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spacing w:line="320" w:lineRule="exact"/>
      <w:jc w:val="center"/>
    </w:pPr>
    <w:rPr>
      <w:rFonts w:eastAsia="宋体"/>
      <w:sz w:val="30"/>
      <w:szCs w:val="24"/>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题目"/>
    <w:next w:val="1"/>
    <w:uiPriority w:val="0"/>
    <w:pPr>
      <w:spacing w:line="600" w:lineRule="exact"/>
      <w:ind w:firstLine="0" w:firstLineChars="0"/>
      <w:jc w:val="center"/>
      <w:outlineLvl w:val="9"/>
    </w:pPr>
    <w:rPr>
      <w:rFonts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2026-08-20T03:32:00Z</dcterms:created>
  <dc:creator>lm</dc:creator>
  <cp:lastModifiedBy>lm</cp:lastModifiedBy>
  <dcterms:modified xsi:type="dcterms:W3CDTF">2026-08-20T03:33:24Z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2191A4E5B4874E889ADC537DF740F0FC_11</vt:lpwstr>
  </property>
  <property fmtid="{D5CDD505-2E9C-101B-9397-08002B2CF9AE}" pid="4" name="KSOTemplateDocerSaveRecord">
    <vt:lpwstr>eyJoZGlkIjoiYWU0MzVkYTcyMmEyNjE5NTJhZjgyMzc0YjhiZTFlOTMiLCJ1c2VySWQiOiI2MDc4ODU3OTMifQ==</vt:lpwstr>
  </property>
</Properties>
</file>